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30 vom 13. Januar 2010</w:t>
      </w:r>
    </w:p>
    <w:p>
      <w:r>
        <w:t>VD Tribunal cantonal, 2010-01-13, FR</w:t>
      </w:r>
    </w:p>
    <w:p>
      <w:r>
        <w:rPr>
          <w:b/>
        </w:rPr>
        <w:t xml:space="preserve">Quelle: </w:t>
      </w:r>
      <w:r>
        <w:t>https://mcp.opencaselaw.ch/entscheid/vd_findinfo_Jug___2010___30</w:t>
      </w:r>
    </w:p>
    <w:p>
      <w:r>
        <w:t>FR: VD_FINDINFO Jug / 2010 / 30 du 13 janvier 2010</w:t>
      </w:r>
    </w:p>
    <w:p>
      <w:r>
        <w:t>IT: VD_FINDINFO Jug / 2010 / 30 del 13 gennaio 2010</w:t>
      </w:r>
    </w:p>
    <w:p>
      <w:pPr>
        <w:pStyle w:val="Heading2"/>
      </w:pPr>
      <w:r>
        <w:t>Regeste</w:t>
      </w:r>
    </w:p>
    <w:p>
      <w:r>
        <w:t>ASSURANCE DE RESPONSABILITÉ CIVILE, ASSUREUR RESPONSABILITÉ CIVILE, AUTOMOBILE, RESPONSABILITÉ DU DÉTENTEUR DE VÉHICULE, DÉTENTEUR DE VÉHICULE, PERTE DE GAIN, DOMMAGE, DOMMAGE CORPOREL, DOMMAGE MÉNAGER, DOMMAGES-INTÉRÊTS, OBLIGATION DE RÉDUIRE LE DOMMAGE, LÉSION CORPORELLE, DEGRÉ DE L'INVALIDITÉ, INVALIDITÉ{INFIRMITÉ}, INCAPACITÉ DE GAIN, INCAPACITÉ DE TRAVAIL, TORT MORAL | 41 CO, 42 CO, 45 CO, 46 CO, 47 CO, 49 CO, 73 CO, 3 LAI, 21 LAVS, 8 LAVS, 58 LCR, 61 LCR, 62 LCR, 65 LCR, 86 LCR, 66 LPP, 8 LPP, 5 OPP2, 21 RAVS</w:t>
      </w:r>
    </w:p>
    <w:p>
      <w:pPr>
        <w:pStyle w:val="Heading2"/>
      </w:pPr>
      <w:r>
        <w:t>Erwägungen</w:t>
      </w:r>
    </w:p>
    <w:p>
      <w:r>
        <w:rPr>
          <w:b/>
        </w:rPr>
        <w:t>E. 1</w:t>
      </w:r>
    </w:p>
    <w:p>
      <w:r>
        <w:t>LCR, du seul fait que l'emploi du véhicule est en relation de causalité avec le dommage, ce lien devant être naturel et adéquat (ATF 95 II 344 c. 6;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RC, op. cit., n. 209). S'agissant d'un accident de type "coup du lapin", il existe un lien de causalité naturelle à trois conditions: premièrement, il faut qu'un traumatisme de type "coup du lapin" soit diagnostiqué; deuxièmement, il faut qu'apparaisse le tableau clinique caractéristique, soit des plaintes multiples, des maux de tête diffus, des vertiges, des troubles de la concentration et de la mémoire, des nausées, une fatigabilité accrue, des troubles de la vue, une irritabilité, une altération de la sensibilité, une dépression et une modification de la personnalité, etc; troisièmement, le mécanisme accidentel doit être propre à provoquer de tels troubles (Duc, Accident de type «coup du lapin» et causalité en responsabilité civile, in HAVE/REAS 1/2009, p. 87).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Il n'y aura rupture du lien de causalité adéquate, l’enchaînement des faits perdant alors sa portée juridique, que si une autre cause concomitante, par exemple le comportement de la victime, le fait d’un tiers ou la force majeure,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Selon les circonstances, il peut alors y avoir influence sur le calcul du dommage (art. 42 CO) ou le montant des dommages-intérêts (art. 43 et 44 CO) (TF 4C.415/2006 du 11 septembre 2007 c. 3.2; ATF 123 III 110 c. 3c, JT 1997 I 791; Rey, op. cit., nn. 605, 606, 607b et 607c). b) aa) En l'espèce, la demanderesse a été victime, le 5 juillet 2000, d'un accident de la circulation. L'expert technique a confirmé que le défendeur, détenteur du véhicule impliqué dans l'accident au cours duquel la demanderesse a été blessée, a amorcé un virage à gauche et a coupé la route de la demanderesse. Le défendeur n'a dès lors pas respecté les règles de la circulation routière et a porté atteinte à l'intégrité corporelle de la demanderesse. En revanche, l'expert technique a constaté que la demanderesse, qui ne circulait pas à une vitesse inadaptée, avait réagi de façon adéquate au vu des circonstances de l'accident, puisqu'elle ne pouvait en aucun cas s'arrêter avant le point de choc. Il est établi que la demanderesse a alors été victime d'un accident de la circulation dont les troubles observés sont typiques de la symptomatologie après traumatisme d'accélération-décélération crânio-cervicale, soit d'un "coup du lapin". Cette accélération-décélération a été induite par le freinage immédiat de la voiture et du choc de la tête de la demanderesse dans l'habitacle du véhicule. Elle s'est d'ailleurs tout de suite plainte de douleurs à la tête et au bras. D'après l'expert médical, ce traumatisme n'a pas été influencé par un état préexistant, mais est dû exclusivement à l'accident. En outre, la demanderesse n'a pas subi de problèmes de santé qui n'étaient pas liés à l'accident. Selon l'expert médical, il existe une relation de causalité entre l'accident du 5 juillet 2000, la lésion, les troubles et les handicaps de la demanderesse. Il ne fait pas de doute que cet événement est en relation de causalité naturelle et adéquate avec les problèmes médicaux dont souffre la demanderesse et l'invalidité qui en résulte. Sans cet accident, la demanderesse n'aurait en effet pas été atteinte dans sa santé, ni dans sa capacité de travailler. Les conséquences résultant de l'accident ne seraient dès lors pas survenues indépendamment du comportement du défendeur. En outre, il n'y a pas eu, dans la chaîne causale, que ce soit individuellement ou dans leur cumul, d'autres circonstances à ce point exceptionnelles par rapport au fait dont répond le défendeur, qui auraient interrompu le lien de causalité entre l'accident et l'incapacité de la demanderesse. L'expert médical a confirmé que ce lien n'a à aucun moment été rompu. Le défendeur est ainsi entièrement responsable de l’accident du 5 juillet 2000. Quant à la défenderesse, il n'est pas contesté que sa responsabilité est engagée en sa qualité d'assurance responsabilité civile du détenteur du véhicule impliqué. Elle a elle-même admis la responsabilité de son assuré par courrier du 31 juillet 2000. bb) S'agissant de l'invalidité de la demanderesse, il ressort de l'expertise médicale qu'elle subit une incapacité de travail totale comme interprète et qu'elle a une incapacité partielle permanente de 30% comme traductrice, puisque son rendement est réduit à 70%. D'après l'expert médical, son invalidité médico-théorique globale et définitive est au minimum de 30%. Paradoxalement, la demanderesse allègue que sa capacité de travail est de 100% depuis le 1 er octobre 2000. Ce fait a été admis par la défenderesse. Il ressort d'ailleurs de l'instruction du dossier que la demanderesse a un emploi et travaille à 100%, répartissant son temps de travail à 70% sur son lieu de travail et à 30% à son domicile. La demanderesse explique qu'elle compense une perte de rendement en travaillant davantage à la maison, sans faire valoir cependant d’heures supplémentaires auprès de son employeur, celles-ci ne faisant que rétablir un rendement normal. Elle allègue en outre qu'elle effectue cette part externe de 30% de son travail à domicile en travaillant en moyenne quatre heures par jour ouvrable, soit vingt heures par semaine. Cette estimation est reprise par les défendeurs dans leur mémoire de droit. En effectuant 70% de son temps de travail sur son lieu de travail, soit en effectuant 70% des 42 heures hebdomadaires prévues par son contrat de travail, la demanderesse travaille 29,4 heures sur place. En tenant compte de 20 heures de travail à son domicile, elle effectue en 49,4 heures un travail qu'elle devrait en principe accomplir en 42 heures. En 42 heures, elle effectue ainsi moins que le 100% du travail requis et en travaillant 49,4 heures hebdomadaires, elle effectue un surcroît de travail de 17,61%, puisqu'elle est alors occupée à 117,61%. Sa perte de rendement concrète correspond donc à 17,61%. Il existe dès lors bien un rapport de causalité entre l'accident du 5 juillet 2000 et l'incapacité de la demanderesse; cette dernière peut dès lors, sur le principe, faire valoir des prétentions en réparation du dommage subi. III. a) La demanderesse réclame la réparation de la perte de gain subie de par son invalidité causée à la suite de l'accident du 5 juillet 2000.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 3.1; ATF 129 III 135 c. 2.2, JT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w:t>
      </w:r>
    </w:p>
    <w:p>
      <w:r>
        <w:rPr>
          <w:b/>
        </w:rPr>
        <w:t>E. 2</w:t>
      </w:r>
    </w:p>
    <w:p>
      <w:r>
        <w:t>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Cette disposition est applicable à la fixation du dommage en matière de circulation routière (Brehm, RC, op. cit., nn. 16 ss et les références citées). L'art. 86 LCR prévoit que, dans des procès relatifs à des prétentions découlant d'accidents causés par des véhicules automobiles ou des cycles, le juge apprécie librement les faits sans être lié par les règles de la procédure cantonale sur la preuve. Cette disposition, destinée à libérer le juge de certaines entraves formelles limitant son pouvoir d'appréciation des faits (Bussy/Rusconi, op. cit., n. 2.2 ad art. 86 LCR), n'autorise toutefois pas celui-ci à compléter le cadre des allégués des parties, dans lequel il est tenu de rester (Poudret/Haldy/Tappy, Procédure civile vaudoise, 2002, n. 1 ad art. 4 CPC). De plus, selon l'art. 243 CPC,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RSPC 2007, pp. 321 ss, spéc. p. 325 et les références citées). Par ailleurs, dans l'hypothèse où le juge est confronté à plusieurs expertises judiciaires et se rallie aux conclusions de l'une d'elles, il est tenu de motiver son choix (Bosshard, op. cit., p. 325 et la jurisprudence citée) . c) En l'espèce, il est établi que la demanderesse est incapable de travailler comme interprète et qu'elle a une incapacité partielle permanente de 30% comme traductrice, dont il résulte un rendement réduit qu'elle compense par un surcroît de travail. Il convient d'examiner quels sont les effets de cette incapacité de travail sur la capacité de gain de la demanderesse. aa) Pour apprécier la perte de gain de la demanderesse, il s'agit d'établir premièrement les revenus auxquels celle-ci aurait pu prétendre sans la survenance de l'accident. A cette fin, on se fondera sur les revenus qu'elle tirait de son activité d'interprète et de son activité de traductrice avant l'accident du 5 juillet 2000. Pour déterminer les conséquences pécuniaires de l'incapacité de travail, il convient ensuite de déduire du revenu hypothétique qui aurait pu être réalisé sans l'invalidité, le revenu d'invalide qui a été ou qui aurait raisonnablement pu être réalisé après l'accident. ab) Il est établi que la demanderesse, après la naissance de sa fille, comptait progressivement reprendre d'ici à la majorité de cette dernière, soit en 2012, une carrière d'interprète et de traductrice à 100%. Les proches de la demanderesse ont en effet confirmé l'intention de cette dernière de recommencer à travailler à 100% dans ce domaine. Il n'est cependant pas établi que sa carrière eût pris une orientation internationale, comme elle le soutient, dès lors que cela n'était déjà pas le cas avant l'accident, alors qu'elle était au plus fort de sa carrière professionnelle et que l'essentiel de ses clients étaient basés en Suisse. Il convient donc, avant de faire des calculs comparatifs hypothétiques, de déterminer le revenu réalisable comme interprète indépendant et comme traducteur indépendant. S'agissant du revenu en tant qu'interprète indépendant, l’expert comptable a pris en considération le fait qu’un interprète ne peut travailler en cette qualité que pendant 150 jours par an au maximum. Mais il a ajouté à cette occupation, qu’il a considérée à 65% compte tenu de 230 jours ouvrables et de la déduction des vacances, une occupation à 35% comme traductrice. Or, il ressort du complément d’expertise qu’une journée d’interprétariat nécessite une demi-journée à une journée de préparation. En prenant en compte une moyenne de 0,75 jour de préparation, une activité d’interprète à 100% consiste en 150 jours passés en cabine et 112,5 jours de préparation, soit une activité totale de 262 jours et demi, ce qui correspond à un peu plus que tous les jours ouvrables de l’année, sans compter les jours fériés ni aucune vacance. De fait, une telle activité occuperait plus qu'un plein temps et ne laisserait de place pour aucune autre activité. Il faut donc retenir qu'une activité d'interprète indépendant à plein temps ne permet pas d'exercer une autre activité à côté. Il est clair que si un interprète ne peut travailler plus de 150 jours en cabine par année, c'est que cela représente la limite de ce qu'un être humain, même hautement qualifié et actif, peut faire – et non qu'il peut se consacrer par ailleurs à une autre activité professionnelle. En outre, l'expert a retenu, pour un interprète indépendant travaillant constamment à plein temps, un revenu annuel brut de 165'000 fr. (1'100 fr. x 150 jours), qui correspond à un revenu représentant le haut de gamme de l'activité. En comptant quatre semaines de vacances et une semaine correspondant aux jours fériés annuels, il faut déduire 15’865 fr. 38 de ce montant ((165'000 : 52) x 5). Le revenu brut annuel s'élève ainsi à 149'134 fr. 62. Il faut déduire de ce montant des frais généraux de l’ordre de 5% pour obtenir un revenu brut de 141’677 fr. 89, toutes charges déduites, sous réserve de l'AVS qui n'est pas payée. S'agissant du revenu en tant que traducteur indépendant, l’expert a pris en considération une rémunération de 120 fr. de l’heure en se fondant sur le tarif recommandé par l’association suisse des traducteurs, terminologues et interprètes, et a estimé que la rémunération d’un traducteur indépendant est de 12'000 fr. par mois, soit 132'000 fr. brut par an pour onze mois de travail par année. Cependant, dès lors qu'il s'agit de comparer l’activité indépendante de traducteur à l’activité rémunérée de la demanderesse, il convient de décompter cinq semaines, soit quatre semaines de vacances plus les jours fériés, pour évaluer ce revenu. Il s'agit donc d'un montant de 144’000 fr. brut par un an, moins 5% de frais, soit 136’800 fr., dont il faut encore déduire cinq semaines de vacances par 13'153 fr. 85 ((136’800 fr. : 52) x 5), ce qui correspond à une rémunération brute, soit avant déduction de l’AVS, de 123’646 fr. 15. Sur la base des éléments de l’expertise, il faut donc retenir que les revenus réalisables en qualité d'interprète indépendant, ainsi qu'en qualité de traducteur indépendant se montent annuellement à 141’677 fr. 89 et 123’646 fr. 15. Il s'agit de déterminer quels auraient été les revenus obtenus selon les périodes considérées en tenant compte des bases de calcul modifiées de l'expertise comptable et des taux de répartition des deux activités de la demanderesse, l'expert ayant retenu une activité de 100% au total. Pour la période du 1 er mai 2004 au 30 avril 2006, alors que la demanderesse aurait pu travailler à un taux d'activité de 25% en tant qu'interprète et à un taux de 75% en tant que traductrice, elle aurait pu percevoir des revenus à hauteur de 35'419 fr. 47 et de 92'734 fr. 61, soit 128'154 fr. 08 au total, soit 256'308 fr. 17 sur deux ans. Pour la période du 1 er mai 2006 au 30 avril 2009, alors que la demanderesse aurait pu travailler à un taux d'activité de 50% en tant qu'interprète et à un taux de 50% en tant que traductrice, elle aurait pu percevoir des revenus à hauteur de 70'838 fr. 95 et de 61'823 fr. 07, soit 132'662 fr. 02 au total, soit 397'986 fr. 06 sur trois ans. Pour la période du 1 er mai 2009 au 30 avril 2012, alors que la demanderesse aurait pu travailler à un taux d'activité de 75% en tant qu'interprète et à un taux de 25% en tant que traductrice, elle aurait pu percevoir des revenus à hauteur de 106'258 fr. 42 et de 30'911 fr. 54, soit 137'169 fr. 96 au total, soit 411'509 fr. 87 sur trois ans. Dès le 1 er mai 2012, alors que la demanderesse aurait pu travailler à un taux d'activité de 100% en tant qu'interprète, elle aurait pu percevoir des revenus à hauteur de 141’677 fr. 89 par année. L’évolution probable du salaire de la demanderesse jusqu'en 2024, date de sa retraite au sens de l'art. 21 LAVS (loi fédérale du 20 décembre 1946 sur l'assurance-vieillesse et survivants; RS 831.10), par rapport au salaire qu'elle obtient et obtiendra vraisemblablement à l'Ecole hôtelière de Lausanne compte tenu des augmentations estimées par l'expert, est la suivante: Année salaire revenu d’indépendante différence 2004 97’825 128'154 30’329 2005 99’827 128'154 28’327 2006 101’634 132'662 31'028 2007 103’667 132'662 28'995 2008 105’740 132’662 26’922 2009 107'855 137’170 29'315 2010 110’012 137’170 27'158 2011 112'212 137’170 24’958 2012 114’456 141’678 27’222 2013 116'746 141’678 24'932 2014 119’080 141’678 22'598 2015 121’462 141’678 20'216 2016 123’891 141’678 17’787 2017 126’369 141’678 15’309 2018 128'896 141’678 12'782 2019 131'474 141’678 10'204 2020 134'104 141’678 7'574 2021 136'786 141’678 4’892 2022 139'522 141’678 2'156 2023 143'312 141’678 -1’634 2024 145'158 141’678 -3’480 Sur ces montants, il faut tenir compte des cotisations sociales que la demanderesse aurait dû verser au titre de cotisation d'indépendant, soit 7,8% de cotisation AVS (art. 8 al. 1 LAVS), étant précisé que le taux dégressif prévu à cette disposition et à l’art. 21 RAVS (règlement du 31 octobre 1947 sur l'assurance-vieillesse et survivants; RS 831.101) n’entre pas en considération, puisqu’il s’agit de revenus annuels largement supérieurs à 48'300 francs; 1,4% de cotisation AI (art. 3 al. 1 LAI [loi fédérale du 19 juin 1959 sur l'assurance-invalidité; RS 831.20]) et 0,3% de cotisation APG (art. 36 RAPG [règlement du 24 novembre 2004 sur les allocations pour perte de gain; RS 834.11]). Au revenu d'indépendant ainsi obtenu, on doit comparer le salaire dont a été déduit la part salariale à l'AVS/AI/APG. L'évolution probable des revenus salariés et indépendants de la demanderesse avec prise en compte des cotisations sociales, sans la déduction des cotisations LPP mais en tenant compte d’une activité indépendante initiale à temps partiel est la suivante: Année salaire revenu d’indépendante 2004 92’884.83 69’587.62 (60%) 2005 94’785.73 75’386.59 (65%) 2006 96’501.48 84'041.37 (70%) 2007 98’431.81 90'044.33 (75%) 2008 100’400.13 96’047.28              (80%) 2009 102'408.32 105’518.02              (85%) 2010 104'456.39 111’724.97              (90%) 2011 106'545.29 117’931.90              (95%) 2012 108'675.97 128’218.59              (100%) 2013 110’850.33 128’218.59 2014 113’066.46 128’218.59 2015 115’328.17 128218.59 2016 117’634.50 128’218.59 2017 119’987.37 128’218.59 2018 122’386.75 128’218.59 2019 124’834.56 128'218.59 2020 127’331.75 128'218.59 2021 129’878.31 128’218.59 2022 132'476.14 128’218.59 2023 136’074.74 128’218.59 2024 137’827.52 128’218.59 S'agissant du 2 ème pilier, la cotisation se calcule sur le salaire coordonné, soit sur la partie du salaire qui est actuellement comprise entre 23’940 et 82’080 fr. (art. 8 LPP [loi fédérale du 25 juin 1982 sur la prévoyance professionnelle vieillesse, survivants et invalidité; RS 831.40], art. 5 OPP2 [ordonnance du 18 avril 1984 sur la prévoyance professionnelle vieillesse, survivants et invalidité; RS 831.441.1]), soit 58'140 francs. Sur ce montant, la cotisation minimale est de 10% entre 35 et 44 ans. La demanderesse étant née en 1960, ce taux est celui qui s'applique pour l’année 2004. Il est ensuite de 15% entre 45 et 54 ans, pour les années 2005 à 2014, puis de 18% de 55 à 65 ans, pour les années 2015-2024. L’employeur prenant à sa charge au moins la moitié de ces cotisations (art. 66 LPP), afin de comparer un salaire au revenu d’indépendant hypothétique, il faut ajouter au salaire la différence entre la cotisation AVS/Al/APG salariale et celle d’indépendant, qui est de 4,45%. Il faut également ajouter au salaire le montant patronal minimal au 2 ème pilier, dès lors que le salarié bénéficie d’un avoir de vieillesse qui n’est pas constitué par le revenu d’indépendant. Il s'agit donc d'additionner aux montants figurant dans la première colonne la part patronaIe LPP qui est versée lorsque l’intéressé reçoit un salaire, soit, pour l'année 2004, la somme de 2’907 fr. (5% de 58’140 fr.), pour les années 2005 à 2014, la somme de 4’360 fr. 50 (7,5% de 58’140 fr.) et pour les années 2015 à 2024, la somme de 5’232 fr. 50 (9% de 58’140 fr.). En outre, l’expert comptable a considéré qu'en 2000, l’intéressée travaillait à un taux situé entre 30 et 50%, soit en moyenne 40%. Si, compte tenu du temps qu’il faut pour se constituer une clientèle et compte tenu des intentions établies de la demanderesse, on admet qu’elle aurait travaillé à 100% dès 2012, l'augmentation de son taux d’activité de 60% aurait été ventilée sur une période de douze ans, ce qui représente 5% par an. Ainsi, la demanderesse aurait travaillé à 60% en 2004, 65% en 2005, et ainsi de suite jusqu'à un taux de 100% en 2012. L'évolution probable des revenus de la demanderesse avec prise en compte des cotisations sociales et des cotisations au 2 ème pilier en tenant compte d’une activité indépendante initiale à temps partiel, par rapport au salaire perçu auprès de l'Ecole hôtelière de Lausanne, est la suivante: Année salaire revenu d’indépendante différence 2004 95’791.83 69’587.62 (60%) - 26’204.21 2005 99’146.23 75'386.59 (65%) - 23'759.64 2006 100’861.98 84'041.37              (70%) - 16’820.61 2007 102’792.31 90’044.33              (75%) - 12'747.98 2008 104’760.63 96’047.28              (80%) - 8’713.35 2009 106'768.82 105’518.02              (85%) - 1’250.80 2010 108’816.89 111’724.97              (90%) 2’908.08 2011 110’905.79 117'931.91              (95%) 7’026.12 2012 113’036.47 128'218.59              (100%) 15'182.12 2013 115’210.83 128’218.59 13’007.76 2014 117'426.96 128’218.59 10'791.63 2015 120'560.67 128’218.59 7'657.92 2016 122'867.00 128’218.59 5'351.59 2017 125'219.87 128’218.59 2'998.72 2018 127'619.25 128’218.59 599.34 2019 130'067.06 128’218.59 - 1'848.47 2020 132'564.25 128’218.59 - 4'345.66 2021 135'110.81 128’218.59 - 6'892.22 2022 137'708.64 128’218.59 - 9'490.05 2023 141'307.24 128’218.59 - 13'088.65 2024 143'060.02 128’218.59 - 14'841.43 Total 2'491'603.55 2'417'123.75 - 74'479.80 La somme de 74'479 fr. 80 représente la différence moyenne annuelle des revenus de la demanderesse sur l’ensemble de la période considérée. Le revenu salarié de la demanderesse, invalide depuis l'accident du 5 juillet 2000, est ainsi supérieur de 74'479 fr. 80. La demanderesse ne subit donc aucun dommage du fait qu’elle a dû renoncer à l’interprétariat et à la traduction au titre d'activité indépendante. Il n’existe donc pas de perte de gain. On remarquera encore que les calculs qui précèdent ne prennent en compte, pour les années 2012 et suivantes, aucun temps qui serait consacré à la recherche de mandats (et qui ne serait pas rémunéré en tant que tel), et présupposent que l'ensemble de l'activité de la demanderesse s'exercerait pour des mandants tels que Nestec SA, le CIO ou la Confédération. On a donc calculé le revenu d'un interprète qui a des mandats à plein temps en permanence uniquement auprès de grandes sociétés ou institutions. On relèvera à cet égard que la demanderesse, dans son activité d'interprétation, facturait entre 60 fr. et 150 fr., voire 160 fr. l'heure, ce qui est très inférieur aux tarifs retenus. Il en est de même pour l'activité de traductrice. Les parties admettent que la demanderesse, avant la naissance de son enfant, travaillait à plein temps. Or, son revenu n'a jamais dépassé 44'400 fr. par an. ba) La demanderesse a allégué que sa perte de rendement lui causait un dommage supplémentaire. Comme on l'a vu, la demanderesse a une capacité de travail réduire (comme traductrice) qu'elle compense en travaillant davantage. Le travail supplémentaire est de 4,4 heures par semaine. Le dommage peut se présenter sous la forme d'une diminution de l'actif, d'une augmentation du passif, d'une non-augmentation de l'actif ou d'une non-diminution du passif (ATF 129 III 18 c. 2.4; ATF 129 III 331 c. 2; ATF 128 III 22 c. 2e/aa; ATF 128 III 180 c. 2d; ATF 127III 543 c. 2b, JT 2002 I 217). Aucun de ces cas de figure n'est réalisé en l'espèce. Les heures supplémentaires ne peuvent donc être payées par la défenderesse. On tiendra toutefois compte de cet élément dans l'évaluation de l'atteinte à l'avenir économique et du tort moral. bb) Le fait que la victime réalise un gain équivalent ou supérieur à celui qu'elle aurait obtenu sans l'accident n'exclut pas qu'elle soit atteinte dans son avenir économique. Une atteinte à l'avenir économique doit éventuellement être reconnue aussi dans le cas où la victime de l'accident demeure capable de travailler en dépit des séquelles de cet événement et obtient un gain équivalent à celui qu'elle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réduire les possibilités de se mettre à son compte (TF 4C.433/2004 du 2 mars 2005). La personne invalide doit de surcroît déployer des efforts plus intenses pour conserver son gain, ce qui est de nature notamment à réduire la durée de son activité lucrative (TF 4C.234/2006 du 16 février 2007 c. 4.2). L’atteinte à l’avenir économique est une composante du préjudice économique résultant de l’invalidité, au même titre que la perte de gain (Brehm, Commentaire bernois, vol. VI/1/3/1, n. 87 ad art. 46 CO). Il s'agit donc de chiffrer la perte d'une chance, l'affaiblissement de la victime dans sa vie professionnelle et sur le marché du travail. Pour ce faire, il convient d'arrêter en pourcentage le degré d'atteinte à l'avenir économique, qui s'apprécie en fonction du taux d'invalidité médicale. La jurisprudence reconnaît à cet égard un large pouvoir d'appréciation à l'autorité cantonale (TF 4C.108/2003 du 1 er juillet 2003 c. 4 et 6). Il faut ensuite appliquer le taux retenu au revenu annuel futur, qui doit être capitalisé (TF 4C.234/2006 du 16 février 2007 c. 4.3). En l'espèce, le taux d'incapacité médico-théorique de la demanderesse est de 30% et sa perte de rendement concrète est de 17,61%. On peut estimer sur ces bases l'atteinte à son avenir économique à 10%. Le revenu annuel brut futur de la demanderesse - y compris le treizième salaire -, soit pour les années 2010 à 2024, a été arrêté par l'expert comptable à 126'832 fr. (1'902'480 fr. : 15 ans). En lui appliquant le facteur de 10,71 (table 11 pour une femme âgée de 50 ans; Stauffer/Schaetzle, Tables de capitalisation, Leonardo I, 5 e éd., 2001), on obtient un revenu capitalisé de 1'358'370 fr. 70. L'atteinte à l'avenir économique s'élève dès lors à 135'837 fr. 07, soit 10% de 1'358'370 fr. 70. On doit toutefois encore déduire de ce montant ce que la demanderesse gagne en plus comme salariée, par rapport à ce qui se serait passé si elle n’avait pas eu d’accident. L'atteinte à son avenir économique est donc de 61'357 fr. 25 (135'837 fr. 05 - 74'479 fr. 80). IV. a) La demanderesse soutient qu'en raison de l'accident du 5 juillet 2000, elle ne peut plus assumer les travaux domestiques qui lui incombent. Elle fait valoir une incapacité ménagère identique à l'incapacité de travail qui a été attestée après l'accident. Elle estime qu'elle a subi un dommage domestique évalué à 157'181 fr. du 5 juillet 2000 au 30 juin 2009 et prétend à un préjudice ménager futur de 188'299 francs. b)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JT 2005 I 502 et les arrêts cités).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 5.1). Il s’agit donc de procéder à une évaluation concrète de l’invalidité (Werro, Le dommage ménager: notion et calcul, in Le préjudice corporel: bilan et perspectives, 2009, pp. 26 ss).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 8 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JT 2003 I 511). c) En l'espèce, la demanderesse invoque son incapacité de travail dans la profession de traductrice et d'interprète pour justifier qu'elle était incapable de s’occuper de son ménage. Elle se prévaut des certificats médicaux, selon lesquels elle était en incapacité à 100% du 5 juillet au 28 août 2000, puis à 25% du 20 août au 1er octobre 2000. Il ne s'ensuit pas que la demanderesse n'était pas capable de s'occuper de son ménage. Une incapacité de travail n'implique pas nécessairement une incapacité ménagère. C'est particulièrement le cas en l'espèce, dès lors que cette activité n’est guère comparable avec celle d’interprète ou de traductrice. La demanderesse n'a rien allégué sur sa capacité ménagère durant cette période et n'a pas fait la preuve d'une quelconque invalidité ménagère au cours des semaines suivant l'accident. En ce qui concerne l'avenir, le taux d'incapacité attesté sur le plan professionnel ne peut pas être transposé à l'évaluation de l'incapacité ménagère. Il n'y a aucune raison de penser que la demanderesse subirait une perte de rendement dans l'activité ménagère qui comme on vient de le voir n'est guère comparable à son activité professionnelle. A tout le moins cela n'est pas établi. Les prétentions de la demanderesse au titre de préjudice ménager actuel et futur doivent donc être rejetées. V. a) La demanderesse conclut au paiement par les défendeurs d'un montant de 8'404 fr. 05 au titre des frais de location de véhicule, des frais liés à l'utilisation des transports publics et des frais de dépannage après l'accident, ainsi qu'un montant de 29'127 fr. 50 au titre de dommage lié aux frais médicaux. b)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nn. 997 ss; Brehm, Dommage corporel, op. cit., nn. 413). L'acquisition et les frais courants de la voiture automobile ne sont indemnisables que si le lésé est encore capable de travailler et si, dès lors, la voiture lui est nécessaire pour se déplacer à son lieu de travail et à la condition que, sans accident, il ne se serait pas de toute façon déplacé en voiture pour se rendre à son travail. Hormis la prescription, il n'y a pas de limite dans le temps pour l'obligation de prise en charge de frais pour les soins dus à l'accident (Brehm, Dommage corporel, op. cit., nn. 435-437). c) aa) La demanderesse réclame le paiement de 6'732 fr. 35 à titre de location de voiture - moins 512 fr. 80 que la défenderesse a remboursés -, de 1'432 fr. de frais liés à l'utilisation des transports publics, et de 752 fr. 50 à titre de frais de dépannage du véhicule accidenté incluant les frais de parking. Même si elle admet que la défenderesse s'est acquittée du montant de 11'000 fr., qui a été utilisé pour l'achat de la nouvelle voiture, elle estime qu'au vu de la valeur de son véhicule au moment de l'accident et des frais qu'elle a encourus, elle a droit à un montant minimal de 8'404 francs . Cependant, le montant versé par la défenderesse correspond au prix de réparation du véhicule estimé à 10'956 fr. 30. Dans la mesure où la demanderesse a décidé de vendre l’épave de son véhicule, estimée à 7'000 fr., elle a reçu davantage que la valeur vénale du véhicule qui était de 15'500 francs. Les frais de dépannage du véhicule accidenté y compris les frais de parking de l'épave doivent être considérés comme ayant été acquittés dans le cadre du versement de la somme de 11'000 fr., compte tenu de ce qui précède. Les frais de location, de taxi et de transport public ne sont quant à eux pas dus, dès lors que la demanderesse n'a pas prouvé qu'ils étaient justifiés par des déplacements professionnels et qu'elle avait été informée du refus de la défenderesse de prendre ces frais en charge avant de louer des véhicules. Il n'est d'ailleurs pas raisonnable de tenir compte d'une période de cinq mois avant l'acquisition d'un nouveau véhicule. Rien n'est donc dû à la demanderesse au titre des frais relatifs à son véhicule et à ses déplacements. bb) S'agissant des frais médicaux, la demanderesse admet que la défenderesse a remboursé une partie des frais, mais elle affirme qu'il reste un découvert de 3'615 fr. 50. Elle soutient en outre qu'elle a eu des frais médicaux à hauteur de 4'000 fr. du 4 mai 2004 au 22 juin 2009 et qu'elle encourt des frais de 800 fr. par année en moyenne que l'on devrait capitaliser à concurrence de 21'512 francs. Elle réclame ainsi, à ce titre, une somme de 29'127 fr. 50. Cependant, il ressort des documents de la caisse-maladie produits au dossier, que les frais médicaux laissés à la charge de la demanderesse se montent à 337 fr. 60. En effet, le décompte de la Caisse Helsana totalise la somme de 3'376 fr. 30. La défenderesse ayant remboursé un montant de 3’038 fr. 70 à la Caisse maladie, compte tenu de la participation de 10% à la charge de l’assurée, il reste une somme de 337 fr. 60 qui correspondent à sa participation. Pour le surplus, il n'est pas attesté que la demanderesse continue à devoir assumer des frais médicaux liés à l'accident. Aucune prescription médicale relative au port d'une minerve et aux traitements de magnétiseur n'a été établie. Faute d'allégations et d'offres de preuve précises, on ne peut allouer à la demanderesse plus qu'un montant de 337 fr. 60 à titre de remboursement des frais médicaux. VI. La demanderesse réclame encore le remboursement de la note d'honoraires de son conseil pour les opérations effectuées avant le procès, soit du 27 juillet 2000 au 10 avril 2003, pour un montant de 13'612 fr. 85.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La note d'honoraires de 13'612 fr. 85 produite par la demanderesse correspond à des interventions de son conseil dans le cadre de négociations avec les défendeurs avant l'ouverture du procès civil. Ce montant concerne bien les suites de l'accident et doit être alloué à la demanderesse. VII. a) La demanderesse conclut à l'allocation d'une indemnité d'un montant de 40'000 fr. pour le tort moral qu'elle a subi à la suite de l'accident du 5 juillet 2000.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Comme telles, les lésions corporelles ne suffisent pas pour admettre l'existence d'un tort moral. L'exigence légale des "circonstances particulières" signifie que ces lésions, comme la souffrance qui en résulte, doivent revêtir une certaine gravité (Werro, RC, op. cit., n. 140;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141).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 7.3;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TF 4A_423/2008 du 12 novembre 2008 c. 2.1; TF 4C.263/2006 du 17 janvier 2006 c. 7.3; TF 4C.55/ 2006 du 12 mai 2006 c. 5.2; TF 4C.435/2005 du 5 mai 2006 c. 4.2.1).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c) En l'espèce, les lésions subies à la suite de l'accident ont pour conséquence que la demanderesse n'est plus en mesure d'exercer la profession d'interprète de conférence. Elle travaille toutefois aujourd'hui à plein temps en qualité de traductrice salariée. Elle a dû donner une nouvelle orientation à sa carrière en prenant un travail salarié, en renonçant à l’interprétariat, et elle doit accomplir davantage d'heures de travail afin de maintenir son rendement à 100%. Concernant les diverses activités artistiques qu'elle pratiquait avant l'accident, il ressort du dossier que la demanderesse continue de les exercer. S'agissant de l'anxiété dont elle affirme souffrir lors de déplacements en voiture, l'instruction du dossier a démontré qu'elle a fait usage des moyens de transport à sa disposition, telle que la location de véhicules, et qu'elle a parcouru des distances relativement importantes après l'accident. L'expert médical a en outre confirmé que, si l'état de la demanderesse est caractérisé par un changement de personnalité, elle ne souffre cependant pas de dépression. Au vu des éléments qui précèdent, il apparaît équitable d'allouer à la demanderesse une indemnité pour tort moral d'un montant de 20'000 francs. VIII. 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op. cit., n. 1279; Brehm, Dommage corporel, op. cit., nn. 752 ss). La pratique de la Cour civile retient la date de l'accident. b) En l'occurrence, les montants suivants doivent être alloués à la demanderesse: - 61'357 fr. 25, avec intérêt à 5% l'an dès le 13 janvier 2010, à titre d'indemnité pour atteinte à l'avenir économique, - 337 fr. 60, avec intérêt à 5% l'an dès le 17 novembre 2001, à titre de remboursement des frais médicaux; - 20'000 fr., avec intérêt à 5% l'an dès le 5 juillet 2000, à titre d'indemnité pour tort moral, - 13'612 fr. 85, avec intérêt à 5% l'an dès le 10 mai 2003, à titre de remboursement de la note d'honoraires de son conseil. IX.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obtenant gain de cause sur le principe d'une indemnisation, mais succombant sur celui d'une indemnisation de la perte de gain et en très grande partie sur les conclusions chiffrées prises à l'encontre des défendeurs, la demanderesse A.________ a droit à des dépens réduits de trois quarts, à la charge des défendeurs Z.________ et T.________, solidairement entre eux, qu'il convient d'arrêter à 30'274 fr. 75, savoir : a) 12'500 fr. à titre de participation aux honoraires de son conseil; b) 625 fr. pour les débours de celui‑ci; c) 17'149 fr. 75 en remboursement du quart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