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22 vom 8. Dezember 2009</w:t>
      </w:r>
    </w:p>
    <w:p>
      <w:r>
        <w:t>VD Tribunal cantonal, 2009-12-08, FR</w:t>
      </w:r>
    </w:p>
    <w:p>
      <w:r>
        <w:rPr>
          <w:b/>
        </w:rPr>
        <w:t xml:space="preserve">Quelle: </w:t>
      </w:r>
      <w:r>
        <w:t>https://mcp.opencaselaw.ch/entscheid/vd_findinfo_Jug___2010___22</w:t>
      </w:r>
    </w:p>
    <w:p>
      <w:r>
        <w:t>FR: VD_FINDINFO Jug / 2010 / 22 du 8 décembre 2009</w:t>
      </w:r>
    </w:p>
    <w:p>
      <w:r>
        <w:t>IT: VD_FINDINFO Jug / 2010 / 22 del 8 dicembre 2009</w:t>
      </w:r>
    </w:p>
    <w:p>
      <w:pPr>
        <w:pStyle w:val="Heading2"/>
      </w:pPr>
      <w:r>
        <w:t>Regeste</w:t>
      </w:r>
    </w:p>
    <w:p>
      <w:r>
        <w:t>RÉSILIATION ABUSIVE, INDEMNITÉ{EN GÉNÉRAL}, RENTE{EN GÉNÉRAL}, PERTE{ARGENT}, CONTRAT DE TRAVAIL, CONTRAT DE DROIT ADMINISTRATIF | 43 al. 1 CO, 49 al. 1 CO</w:t>
      </w:r>
    </w:p>
    <w:p>
      <w:pPr>
        <w:pStyle w:val="Heading2"/>
      </w:pPr>
      <w:r>
        <w:t>Erwägungen</w:t>
      </w:r>
    </w:p>
    <w:p>
      <w:r>
        <w:rPr>
          <w:b/>
        </w:rPr>
        <w:t>E. 4</w:t>
      </w:r>
    </w:p>
    <w:p>
      <w:r>
        <w:t>ad art. 339 CO, p. 1794). Le contrat de droit administratif a pris fin le 31 juillet 2007. Les intérêts courent dès le lendemain, soit le 1 er août 2007. Xl.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gain de cause sur les ques-tions de principe, en particulier celle d’un licenciement injustifié et sur les conclusions reconventionnelles. Les montants qui lui sont alloués sont toutefois quelque peu infé-rieurs à ses conclusions. Elle a droit à des dépens réduits d’un cinquième (art. 92 al. 2 CPC), à la charge de la défenderesse, qu’il convient d’arrêter à 17’584 fr., savoir : a) 14'400 fr. à titre de participation aux honoraires de son conseil; b) 720 fr. pour les débours de celui - ci; c) 2'464 fr. en remboursement des quatre cinquièmes de son coupon de justice. Sur ce point, le chiffre III du dispositif, adressé pour communication le 16 décembre 2009, n’est pas correct, puisque les dépens alloués à la demanderesse ont été arrêtés à 16’644 francs.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