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19 vom 30. Oktober 2009</w:t>
      </w:r>
    </w:p>
    <w:p>
      <w:r>
        <w:t>VD Tribunal cantonal, 2009-10-30, FR</w:t>
      </w:r>
    </w:p>
    <w:p>
      <w:r>
        <w:rPr>
          <w:b/>
        </w:rPr>
        <w:t xml:space="preserve">Quelle: </w:t>
      </w:r>
      <w:r>
        <w:t>https://mcp.opencaselaw.ch/entscheid/vd_findinfo_Jug___2010___19</w:t>
      </w:r>
    </w:p>
    <w:p>
      <w:r>
        <w:t>FR: VD_FINDINFO Jug / 2010 / 19 du 30 octobre 2009</w:t>
      </w:r>
    </w:p>
    <w:p>
      <w:r>
        <w:t>IT: VD_FINDINFO Jug / 2010 / 19 del 30 ottobre 2009</w:t>
      </w:r>
    </w:p>
    <w:p>
      <w:pPr>
        <w:pStyle w:val="Heading2"/>
      </w:pPr>
      <w:r>
        <w:t>Regeste</w:t>
      </w:r>
    </w:p>
    <w:p>
      <w:r>
        <w:t>ACCIDENT DE LA CIRCULATION, ASSUREUR RESPONSABILITÉ CIVILE, INCAPACITÉ DE TRAVAIL, TORT MORAL, DOMMAGE MÉNAGER, HONORAIRES, LIEN DE CAUSALITÉ, DOMMAGE, RENTE{EN GÉNÉRAL} | 8 CC, 41 CO, 42 CO, 46 CO, 47 CO, 58 LCR, 62 al. 1 LCR, 65 al. 1 LCR</w:t>
      </w:r>
    </w:p>
    <w:p>
      <w:pPr>
        <w:pStyle w:val="Heading2"/>
      </w:pPr>
      <w:r>
        <w:t>Erwägungen</w:t>
      </w:r>
    </w:p>
    <w:p>
      <w:r>
        <w:rPr>
          <w:b/>
        </w:rPr>
        <w:t>E. 42</w:t>
      </w:r>
    </w:p>
    <w:p>
      <w:r>
        <w:t>CO) ou sur la détermination des dommages-intérêts (art. 43 et 44 CO), qu'il s'agisse d'une cause concomitante du dommage ou d'un facteur aggravant les suites de l'accident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néanmoins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l'article 44 CO pourra toutefois entrer en considération (ATF 131 III 12 c. 4 et les références citées, JT 2005 I 488). L'art. 44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comme par exemple une disproportion manifeste entre la cause fondant le dommage et l'importance du préjudice (TF 4C.415/2006 du 11 septembre 2007 c. 3.2 et les références citées). c) Il incombe au demandeur, respectivement à la partie défenderesse,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ATF 129 III 135 c. 2.2).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Cette disposition est applicable à la fixation du dommage en matière de circulation routière (Brehm, RC, n. 16 et les références citées). d) En l'espèce, le demandeur a notamment été examiné par le Dr L.________, lequel n'est pas parvenu aux mêmes conclusions que l'expert judiciaire quant à la durée de l'incapacité de travail du demandeur. Bien que ce titre ne soit pas dénué de toute valeur probante, il ne justifie pas que la cour de céans s'écarte des conclusions de l'expert judicaire, ce par identité de motifs avec ceux exposés ci-dessus en lien avec l'opinion du Pr. D.________, au sujet du rapport de causalité (cf. c. I.c). L'expert judiciaire C.________ a clairement exposé que seules les douleurs ressenties pendant les six premiers mois qui ont suivi l'accident étaient en rapport de causalité avec cet événement, les douleurs ainsi que l'incapacité de travail du demandeur postérieures à cette période étant dues à son état maladif (arthrose lombaire et maladie de Forestier). Il a en outre confirmé que l'accident n'avait pas entraîné d'aggravation importante et/ou durable de l'état de la colonne lombaire. Dans son rapport complémentaire, il a également précisé que l'arthrose était manifestement sans rapport avec le tassement post-traumatique des vertèbres L3 et L4. Pour l'expert judiciaire, l'accident n'a ainsi pas provoqué le déclenchement ou une aggravation de l'état maladif antérieur du demandeur. Le Prof. C.________ a ainsi estimé que l'incapacité de travail du demandeur due à l'accident était de 100 % pendant les trois premiers mois qui ont suivi l'accident, de 50 % durant les trois mois suivants et nulle par la suite. Il a en outre répondu de manière circonstanciée dans son complément d'expertise aux remarques et questions du mandataire du demandeur. Il n'existe dès lors aucune raison déterminante de s'écarter de l'expertise judiciaire, dont les conclusions sont motivées et convaincantes. Le demandeur n'a d'ailleurs pas requis de contre-expertise. e) Afin d'apprécier la perte de gain du demandeur durant la période allant du 23 janvier au 23 juillet 2002, date de la fin de son incapacité de travail en lien avec l'accident, il convient d'établir les revenus auxquels le demandeur aurait pu prétendre durant cette période sans la survenance de l'accident. Le demandeur a fondé ses prétentions en perte de gain sur un revenu annuel net de 66'100 francs. La défenderesse considère au contraire dans son mémoire de droit que l'expertise judiciaire mise en œuvre a démontré que les revenus du demandeur résultant de son activité lucrative se limitaient à 21'800 francs. ea) Il ressort d'une note interne de la défenderesse du 12 mars 2002 que le demandeur travaillait cinq heures par jour, à 30 fr. de l'heure, pour le compte d'O.________ SA comme chauffeur de taxi. Cette pièce, établie sur la base d'un entretien téléphonique de la défenderesse avec O.________ SA dans des circonstances dont on ignore tout, doit être écartée, conformément à l'art. 177 CPC (Code de procédure civile vaudois du 14 décembre 1966, RSV 270.11), qui prohibe la production de pièces tenant lieu de témoignage; au surplus, elle ne serait pas probante. eb) Selon l'expertise réalisée par X.________, le demandeur a perçu en 2001 un revenu annuel de 21'800 fr. dans son activité de chauffeur de taxi. Il n'y a aucune raison de s'écarter de cette appréciation. Comme exposé ci-dessus (c. II.d), l'incapacité de travail du demandeur a été totale durant les trois premiers mois après l'accident, de 50 % pendant les trois mois suivants et nulle par la suite. En conséquence, la perte de gain du demandeur s'élève à 8'175 fr. ([21'800 / 12 x 3] + [21'800 /12 x 50% x 3]) s'agissant de son activité de chauffeur de taxi. ec) En ce qui concerne les travaux arboricoles effectués le demandeur, ce dernier n'a pas allégué les revenus qu'il en tirait. En outre, l'expertise de X.________ n'a pas porté sur ce point. Dans la mesure où la nature, la durée et la rémunération de cette activité ne sont ni alléguées, ni prouvées, il n'y a pas lieu d'en tenir compte dans le calcul de la perte de gain du demandeur. ed) En conséquence, la perte de gain totale du demandeur s'élève à 8'175 fr. pour la période allant du 23 janvier au 23 juillet 2002. f) fa)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2.2;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132 III 321 c. 2.2.1, JT 2006 I 447; ATF 131 III 360 précité c. 6.1, JT 2005 I 502; ATF 126 III 41 c. 2, JT 2000 I 367; CCiv 45/2006/BBA du 24 mars 2006 c. V.1.3.2.b).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précité c. 6.1, JT 2005 I 502; ATF 131 III 12 c. 7.1, JT 2005 I 488, SJ 2005 I 113; ATF 124 V 174 c. 1). Les règles de la loi fédérale du 6 octobre 2000 sur la partie générale du droit des assurances sociales (LPGA, RS 830.1) à propos de la subrogation des assurances sociales ne s’appliquent pas en l’espèce, puisque l’accident et ses conséquences sont antérieurs à l’entrée en vigueur de cette loi (ATF 131 III 360 précité c. 7.1, JT 2005 I 502 ; Frésard-Fellay, Le recours subrogatoire de l’assurance-accidents sociale contre le tiers responsable ou son assureur, n. 66). Toutefois, les règles de subrogation particulières qui existaient auparavant déjà dans les différentes lois et les règlements d’assurances sociales conduisent à un résultat identique (Frésard-Fellay, op. cit., n. 1224). fb) En l'espèce, comme exposé ci-dessus (ch. 7), il est retenu que la défenderesse a versé au demandeur des indemnités à titre de perte de gain, par 13'898 fr., soit un montant supérieur à la perte de gain subie par le demandeur en raison de l'accident. Dès lors, même si la défenderesse était parvenue à prouver qu'elle avait versé au demandeur des indemnités perte de gain à hauteur de 16'579 fr. 80 comme elle l'allègue, cela n'aurait pas influé sur la solution du litige. De toute manière, quand bien même les prétentions du défendeur en réparation de sa perte de gain auraient été supérieures aux prestations versées à ce titre par la défenderesse, il conviendrait encore de prendre en compte les versements des autres assureurs perte de gain. En effet, la subrogation a pour effet de priver le demandeur du droit de réclamer l'éventuelle perte de gain non prise en charge par la défenderesse, mais pour laquelle il a été indemnisé par d'autres assureurs. Or, le demandeur a bénéficié d'indemnités perte de gain de la part d'E.________ et de T.________ durant la période du 23 janvier au 23 juillet 2002. Dans la mesure où le dommage subi par le demandeur a été entièrement indemnisé par les assurances sociales, il n'est pas nécessaire d'examiner la question d'un éventuel droit préférentiel (art. 88 LCR; Frésard-Fellay, op. cit., nn. 975 ss). En définitive, le demandeur ne subit aucun dommage indemnisable à raison de sa perte de gain. III. a) Dans son mémoire de droit, le demandeur allègue avoir subi un dommage de rente, du fait qu'il a dû solliciter une rente AVS de manière anticipée, qui lui a été octroyée dès le 1 er mai 2003 à hauteur de 1'517 fr., mais réduite de 13,6 %. Selon la jurisprudence, le tiers civilement responsable, qui a l'obligation de réparer l'intégralité du dommage, répond également de la réduction future des prestations que les assurances sociales accorderont à ce dernier. Un tel préjudice, défini comme le dommage consécutif à la réduction d'une rente ou dommage de rente, correspond à la perte de rentes de vieillesse, provoquée par une réduction du revenu, qui survient à la suite d'une atteinte à la capacité de gain (ATF 126 III 41 c. 3). Il convient cependant de le nier lorsque les prestations d'assurances sociales effectivement perçues par la victime de l'accident dépassent le 80 % du revenu brut qui entre en ligne de compte, lequel est arrêté sans qu'il faille y ajouter les contributions de l'employeur aux assurances sociales (AVS et LPP) (TF 4C.197/2001 du 12 février 2002 c. 4a). b) En l'espèce, l'existence d'un dommage de rente doit être niée puisque que la rente AVS du demandeur, certes réduite de 13,6 % parce que demandée de manière anticipée, ne lui a été octroyée qu'à partir du 1 er mai 2003, soit postérieurement à la fin de son incapacité de travail et de sa perte de gain en rapport avec l'accident, qui se sont toutes deux terminées le 23 juillet 2002. En conséquence, la réduction de la rente du demandeur ne peut être mise en rapport de causalité avec l'accident du 23 janvier 2002. IV. Le demandeur réclame la réparation de son préjudice ménager, qu'il estime à 210'651 fr. pour la période allant du 23 janvier 2002 au 15 janvier 2006. a)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 46 al. 1 CO, peu importe qu'il ait été compensé par une aide extérieure, qu'il entraîne une mise à contribution supplémentaire des proches ou que l'on admette une perte de qualité des services. Ce qui doit être réparé, c'est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et les arrêts cités). Pour procéder à l'évaluation du temps nécessaire aux activité ménagères, le juge peut soit se prononcer de façon abstraite, en se fondant exclusivement sur des données statistiques, soit prendre en compte les activités effectivement réalisées par le soutien dans le ménage (ATF 132 III 321 c. 3.1, JT 2006 I 447; TF 4A_19/2008 du 8 mai 2008 c. 2.3.1).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Le seul fait que le juge puisse juger abstraitement de l'étendue du préjudice ménager ne signifie pas encore que le simple renvoi à des valeurs statistiques soit suffisant, sans égard à la situation concrète du cas d'espèce. Ainsi, seul celui qui exerçait avant l'accident une activité ménagère peut prétendre à une réparation du dommage ménager (TF 4A_19/2008 du 1 er avril 2008 c. 2.3.1; TF 4C.166/2006 du 25 août 2006 c. 5.1). b) En l'espèce, le demandeur a allégué subir un dommage ménager à hauteur de 147 heures par mois, dommage calculé selon la méthode concrète. Afin de démontrer l'existence et l'ampleur de son activité ménagère, le demandeur a fait entendre uniquement son épouse en qualité de témoin. Ses déclarations n'ont pas été retenues, vu les liens qui unissent le témoin au demandeur, car elles ne sont corroborées par aucun autre élément du dossier. En outre, l'incapacité du demandeur à exercer les tâches ménagères n'a pas été établie médicalement, l'expert C.________ ne s'étant pas déterminé sur ce point. Or, le fardeau de la preuve incombe au lésé (art. 8 CC et 42 al. 1 CO), soit au demandeur, qui doit supporter l'absence de preuve de son dommage ménager. En conséquence, il y a lieu de considérer que le demandeur n'a pas démontré à satisfaction de droit si et dans quelle mesure il accomplissait des tâches ménagères avant son accident de la circulation. Il n'a pas non plus établi l'incidence effective de son état de santé sur la possibilité d'accomplir des tâches ménagères, dans son principe ni dans sa quotité. Dès lors, il n'apparaît pas possible d'allouer au demandeur une indemnité relative au dommage ménager sur la base d'un examen concret. Bien que le choix entre la méthode concrète et abstraite pour calculer le dommage ménager appartienne au lésé (Werro, Le dommage ménager : notion et calcul, in Colloque du droit de la responsabilité civile, 2009, pp. 15 ss, spéc. pp. 18 et 28), il incombe à celui-ci d'alléguer et de prouver tous les faits permettant de constater et de calculer le dommage selon la méthode qu'il a choisie. Le lésé ne peut toutefois pas ensuite en changer dans son argumentation juridique, à défaut de quoi, la condamnation du responsable pourrait résulter d'un grief qui n'aurait pas été invoqué avant la clôture définitive de l'instruction et sur lequel il n'a pas pu être entendu. En l'espèce, comme relevé, le demandeur s'est fondé sur la méthode concrète. Il ne peut dès lors pas invoquer pour la première fois dans son mémoire de droit la méthode abstraite, qui ne saurait par conséquent être appliquée in casu. De surcroît, le demandeur n'a pas démontré les éléments qui pourraient permettre de déterminer si et dans quelle mesure les critères ressortant de cette méthode sont applicables en l'espèce. En conséquence, aucune indemnité ne peut être allouée à ce titre au demandeur. V. Le demandeur réclame le versement d'une indemnité pour le tort moral subi consécutivement à l'accident du 23 janvier 2002, qu'il évalue à 41'360 francs. a) En vertu de l'art. 47 CO, applicable par renvoi de l'art. 62 al. 1 LCR, le juge peut, en tenant compte des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n. 1271; ATF 132 II 117 c. 2.2.3). En ce qui concerne le moment déterminant pour le calcul de l'indemnité, le Tribunal fédéral a laissé indécise la question controversée de savoir s'il faut retenir la date de l'accident ou le jour du jugement. Si on évalue le montant du tort moral d'après les taux usuels à l'époque des lésions corporelles ou du décès, il faut ajouter à ce montant des intérêts compensatoires au taux de 5 % (art. 73 al. 1 CO). En revanche, si le moment déterminant est celui du jugement, il n'y pas lieu d'allouer d'intérêts; dans ce cas, la somme obtenue est en effet souvent plus élevée que celle que le lésé aurait pu faire valoir au jour de l'accident (ATF 132 II 117 c. 3.3.2; Werro, RC, n. 1279; Brehm, Dommage corporel, nn. 752 ss; Rey, op. cit., n. 503). b) Le tort moral sollicité par le demandeur se fonde d'une part sur les lésions traumatiques qu'il a subies lors de l'accident du 23 janvier 2002 et, d'autre part, sur la surdité et les acouphènes résultant du choc lié à l'ouverture de l'airbag. ba) S'agissant du premier poste, il convient de relever que la durée de l'hospitalisation du demandeur a été relativement brève, que l'incapacité de travail a été limitée à six mois, soit une durée qui ne peut être considérée comme particulièrement longue, et que les conséquences sociales de l'accident ne peuvent être qualifiées d'importantes, en comparaison avec d'autres affections donnant lieu à des indemnisations au titre du tort moral. En revanche, il ressort des certificats médicaux que les douleurs causées par l'accident ont été très présentes pendant six mois et que le traitement s'est révélé relativement long. Durant la période du 23 janvier au 23 juillet 2002, le demandeur a également dû renoncer à des activités qu'il appréciait tel que cela résulte des faits retenus ci-dessus. Au vu des éléments qui précèdent, il se justifie d'allouer au demandeur, pour ce poste, une somme de 5'000 fr. à titre de tort moral. bb) En ce qui concerne les troubles auditifs, l'expert judiciaire C.________ a exposé que le demandeur présentait une atteinte à l'intégrité physique de 20 % en lien de causalité avec l'accident, comprenant tant la perte d'ouïe bilatérale que les acouphènes. Cette conclusion correspond aux constatations livrées par le Dr Z.________ dans son rapport du 28 juin 2004, qui a estimé que, s'agissant d'une surdité unilatérale, l'atteinte à l'intégrité était de 15 %. La défenderesse avait ainsi déjà versé le 23 décembre 2002 un montant de 5'000 fr. "pour les problèmes auditifs uniquement". Dans son mémoire de droit, la défenderesse s'est notamment référée à un arrêt publié aux ATF 110 II 163, dans lequel le Tribunal fédéral avait alloué une indemnité de 5'000 fr. à titre de réparation morale à un travailleur ayant éprouvé une perte totale et unilatérale de l'ouïe. En l'espèce, le demandeur a subi du fait de l'accident du 23 janvier 2002 une perte totale de l'ouïe à l'oreille droite, une perte légère à l'oreille gauche, ainsi que des acouphènes. La surdité, avec appareillage, n'occasionne que peu d'inconvénients et pas de douleurs. En revanche, tel n'est pas le cas des acouphènes, qui sont de nature à restreindre sérieusement le bien-être du demandeur. En tenant compte également du fait que le demandeur est relativement âgé, il convient en équité d'allouer au demandeur une somme de 7'000 fr. à titre de tort moral pour ses troubles auditifs. En définitive, le demandeur a droit à une indemnité pour tort moral d'un montant total de 12'000 fr. (5'000 + 7'000). bc) Les règles sur la subrogation et la surindemnisation décrites plus haut (c. II.f.fa) ne permettent d'imputer que les prestations de nature et de but identique au poste civil considéré. En matière de tort moral, seules entrent en considération les indemnités pour atteinte à l'intégrité (CCiv 119/2008/PMR du 26 juin 2008 c. IV b/aa). Il n'y a donc pas lieu d'imputer sur le montant précité de 12'000 fr. les prestations éventuellement allouées en trop par les assureurs sociaux en l'espèce. Seul le montant de 5'000 fr. versé par la défenderesse le 23 décembre 2002 doit être déduit. Il s'ensuit que le demandeur a droit à une indemnité pour tort moral d'un montant total de 12'000 fr., avec intérêt au taux de 5 % l'an dès le 23 janvier 2002, date de l'événement dommageable (Hirsch, Le tort moral dans la jurisprudence récente, in Colloque du droit de la responsabilité civile, 2009, p. 274 et la jurisprudence citée; ATF 131 III 12 c. 8, JT 2005 I 488), sous déduction de 5'000 fr. valeur au 23 décembre 2002. bd) Il n'y a pas lieu d'examiner si la défenderesse pourrait compenser l'indemnité pour tort moral avec d'autres prestations, dès lors qu'elle n'établit aucune créance compensante et qu'elle n'a pas fait valoir ce moyen avant la clôture de l'instruction préliminaire (Crec 167/I du 9 février 2001 c. 4.d). VI. Le demandeur a enfin inclus dans ses conclusions le remboursement d'honoraires d'avocat avant procès. Il n'a allégué à ce titre que des montants forfaitaires, calculés en un pourcentage du dommage. Si, en principe, de tels frais peuvent parfois entrer dans le dommage à réparer, ils ne doivent pas moins être établis et être distincts de ceux faisant l'objet des dépens alloués en procédure (Werro, RC, n. 1002; ATF 133 II 361 c. 4.1). En l'occurrence, le demandeur n'a offert aucune preuve à l'appui de ses allégations en procédure, tant sur le principe que la quotité. Il aurait au moins dû établir, par pièces, les notes d'honoraires intermédiaires adressées par son conseil soit à lui-même, soit à son assurance protection juridique. Le dossier ne contient rien de tel. Ses prétentions sur ce point ne peuvent qu'être rejetées. VII.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CPC). Les frais de justice englobent l'émolument de justice, ainsi que les frais de mesures probatoires. Les honoraires d'avocat sont fixés selon le tarif du 17 juin 1986 des honoraires d'avocat dus à titre de dépens (RSV 177.11.3).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n. 3 ad art. 92 CPC). Le demandeur obtient gain de cause sur le principe de l'octroi d'une indemnité pour tort moral, mais succombe pour l'essentiel sur la quotité des conclusions chiffrées prises à ce titre à l'encontre de la défenderesse et complètement sur les autres postes du dommage réclamé. En conséquence, il y a lieu de lui allouer des dépens réduits de 9/10 ème , à la charge de la défenderesse, qu'il convient d'arrêter à 4'363 fr. 35, savoir : a) 2'500 fr. à titre de participation aux honoraires de son conseil; b) 125 fr. pour les débours de celui‑ci; c) 1738 fr. 35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