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10 vom 2. Dezember 2009</w:t>
      </w:r>
    </w:p>
    <w:p>
      <w:r>
        <w:t>VD Tribunal cantonal, 2009-12-02, FR</w:t>
      </w:r>
    </w:p>
    <w:p>
      <w:r>
        <w:rPr>
          <w:b/>
        </w:rPr>
        <w:t xml:space="preserve">Quelle: </w:t>
      </w:r>
      <w:r>
        <w:t>https://mcp.opencaselaw.ch/entscheid/vd_findinfo_Jug___2010___10</w:t>
      </w:r>
    </w:p>
    <w:p>
      <w:r>
        <w:t>FR: VD_FINDINFO Jug / 2010 / 10 du 2 décembre 2009</w:t>
      </w:r>
    </w:p>
    <w:p>
      <w:r>
        <w:t>IT: VD_FINDINFO Jug / 2010 / 10 del 2 dicembre 2009</w:t>
      </w:r>
    </w:p>
    <w:p>
      <w:pPr>
        <w:pStyle w:val="Heading2"/>
      </w:pPr>
      <w:r>
        <w:t>Regeste</w:t>
      </w:r>
    </w:p>
    <w:p>
      <w:r>
        <w:t>DIVORCE, PRÉVOYANCE PROFESSIONNELLE, PRESTATION DE LIBRE PASSAGE, PARTAGE{SENS GÉNÉRAL}, INTÉRÊT MORATOIRE, INTÉRÊT RÉMUNÉRATOIRE | 122 al. 1 CC, 122 al. 2 CC, 123 al. 2 CC, 142 al. 2 CC, 22 al. 1 LFLP, 22 al. 2 LFLP, 15 al. 2 LPP, 7 OLP, 8a OLP, 12 OPP2</w:t>
      </w:r>
    </w:p>
    <w:p>
      <w:pPr>
        <w:pStyle w:val="Heading2"/>
      </w:pPr>
      <w:r>
        <w:t>Volltext</w:t>
      </w:r>
    </w:p>
    <w:p>
      <w:r>
        <w:t>Vaud Tribunal cantonal Cour des assurances sociales 02.12.2009 Jug / 2010 / 10</w:t>
      </w:r>
    </w:p>
    <w:p>
      <w:r>
        <w:t>DIVORCE, PRÉVOYANCE PROFESSIONNELLE, PRESTATION DE LIBRE PASSAGE, PARTAGE{SENS GÉNÉRAL}, INTÉRÊT MORATOIRE, INTÉRÊT RÉMUNÉRATOIRE | 122 al. 1 CC, 122 al. 2 CC, 123 al. 2 CC, 142 al. 2 CC, 22 al. 1 LFLP, 22 al. 2 LFLP, 15 al. 2 LPP, 7 OLP, 8a OLP, 12 OPP2</w:t>
      </w:r>
    </w:p>
    <w:p>
      <w:r>
        <w:t>TRIBUNAL CANTONAL PPD 14/09 - 5/2010 COUR DES ASSURANCES SOCIALES _____________________________________________ Jugement du 2 décembre 2009 _________________________ Présidence de   M. Neu , juge unique Greffier : M.        Addor ***** Cause divisant : A.T.________ , sans domicile connu, et B.T.________ , à Renens (VD), d'avec Caisse de retraite P.________ , à Tolochenaz, et Fondation N.________ , à Zurich. _______________ Art. 142 al. 2 CC E n  f a i t  : A. B.T.________, née le [...], et A.T.________, né le [...], se sont mariés le 31 mai 2002 à Ecublens (VD). Par jugement de divorce du Tribunal civil de l'arrondissement de [...], prononcé par défaut du mari défendeur le 20 mai 2009 et entré en force le 19 juin 2009, le juge civil a estimé que l'équité commandait d'ordonner que l'avoir de prévoyance professionnelle accumulé par le défendeur revienne intégralement, intérêts compris, à l'ex-épouse. Ce magistrat a relevé à cet égard que le défendeur avait quitté le domicile conjugal du jour au lendemain sans s'inquiéter de la situation économique future de sa famille, en vidant le compte commun et en s'arrogeant des biens qui devaient constituer des acquêts, plaçant ainsi son épouse et son fils dans une situation extrêmement précaire (consid. 8 du jugement précité, p. 17). Ce magistrat a également renvoyé le tribunal de céans à examiner la possibilité d'effectuer "au vu des circonstances", le transfert de l'avoir de prévoyance sur le compte bancaire de la demanderesse (soit la Banque B.________, à teneur de la conclusion VIII prise par l'ex-épouse, demanderesse à l'action en divorce), ou sur un compte de libre passage à constituer (art. 142 al. 2 CC, Code civil suisse du 21 décembre 1907, [RS 210]). B. a) Saisi le 29 juin 2009 par le Tribunal civil de l'arrondissement de [...] afin de fixer l'ampleur de cet avoir et d'en ordonner le transfert en application du ch. 9 du dispositif de son jugement, le juge instructeur du tribunal de céans a requis et obtenu les renseignements utiles auprès de l'institution de prévoyance de l'ex-époux, soit la Caisse de retraite P.________. Par lettre du 4 août 2009, cette institution de prévoyance a fait savoir que la prestation de libre passage, correspondant à la durée des rapports de travail du mari, qui a quitté le territoire suisse sans laisser d'adresse, se monte à 17'456 fr. 25 au 2 août 2007, date de sortie. Les intérêts courus du 3 août 2007 au 19 juin 2009 s'élèvent à 823 fr. 15, soit au total 18'279 fr. 40. b) L'ex-épouse n'a pas acquis d'avoir de prévoyance professionnelle depuis le mariage (cf. jugement de divorce précité, p. 9). C. Dûment interpellée, l'ex-épouse n'a fait valoir aucune observation à ce propos dans le délai imparti par courrier du juge instructeur du 8 septembre 2009. L'ex-époux est quant à lui demeuré sans domicile connu. E n  d r o i t  : 1. La cause a été transmise à l'autorité de céans pour qu'elle procède au partage des avoirs de prévoyance conformément aux dispositions topiques du Code civil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de la prestation de sortie acquise par l'ex-époux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Par ailleurs, selon l'art. 123 al. 2 CC, le juge civil peut refuser le partage, en tout ou partie, lorsque celui-ci s'avère manifestement inéquitable pour des motifs tenant à la liquidation du régime matrimonial ou à la situation économique des époux après le divorce, ainsi que lorsque, dans le cas concret, le partage violerait l'interdiction de l'abus manifeste d'un droit, au sens de l'art. 2 al. 2 CC (ATF 133 III 497). Enfin,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matière de prévoyance professionnelle (art. 93 al. 1 let. d LPA-VD), pour procéder au partage en données chiffrées tel que voulu par ce magistrat. 4. a) Dès lors que le jugement de divorce est entré en force le 19 juin 2009, dite date est la seule à prendre en compte pour le calcul des avoirs de prévoyance et le juge des assurances, dont la tâche consiste uniquement dans le calcul du partage des parts, ne saurait s'en écarter (ATF 132 V 236). La jurisprudence fédérale a rappelé que le calcul de la somme à partager doit en principe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T.________ à la date déterminante du 19 juin 2009 s'élèvent aux montants suivants : - B.T.________ : 0 fr. - A.T.________ : 18'279 fr. 40 En application du jugement civil, dont il n'y a pas lieu, comme vu plus haut, de s'écarter, il en résulte une prestation de sortie à transférer par l'institution de prévoyance de A.T.________ (Caisse de retraite P.________) auprès de celle de B.T.________ de 18'279 fr. 40, soit l'intégralité de l'avoir de prévoyance accumulé par l'ex-époux. c) Cela étant, s'agissant d'un avoir de prévoyance, il ne peut être distrait de son but et doit rester affecté à la prévoyance professionnelle de l'ex-épouse (art. 22 LFLP), sauf allocation au titre de l'équitable indemnité prévue à l'art. 124 CC, dont le principe de l'allocation ne relève cependant pas de la compétence du juge des assurances mais du juge civil, lequel n'a en l'occurrence à juste titre pas retenu le cas d'application de cette disposition, ou sauf hypothèse autorisant un versement en espèces au sens de l'art. 5 LFLP. La réalisation d'un des cas d'application de cette disposition n'étant pas démontrée, ni même invoquée, on ne saurait donc autoriser le transfert de l'avoir sur le compte bancaire de l'intéressée, comme seulement proposé au considérant 8 du jugement de divorce (p. 17). L'intéressée n'a pas acquis d'avoir de prévoyance durant le mariage. Interpellée, elle n'a pas non plus précisé sous quelle forme elle entendait maintenir l'avoir de prévoyance qui lui revient, ni si elle est titulaire d'une police ou d'un compte de libre passage (art. 10 OLP [ordonnance du 3 octobre 1994 sur le libre passage dans la prévoyance professionnelle vieillesse, survivants et invalidité, RS 841.425]) sur lequel cet avoir de prévoyance doit être transféré. Telle que prévue à l'art. 60 LPP, l'institution de prévoyance dite supplétive a pour vocation de maintenir la prévoyance, ainsi lorsque, comme en l'espèce, un assuré n'est pas affilié auprès d'une institution de prévoyance alors qu'une prestation de sortie doit être transférée en sa faveur vers une autre institution (art. 4 al. 2 LFLP). Le transfert sera donc ordonné en mains de dite institution supplétive, invitée à constituer un compte de libre passage au nom de l'ex-épouse, puis d'interpeller la Caisse de retraite P.________ pour versement. L'institution supplétive effectuera le cas échéant un transfert ultérieur de cet avoir sur un compte de libre passage que l'intéressée pourrait se constituer. d) Sur la somme de la prestation de sortie à transférer, l'institution de prévoyance débitrice doit en outre verser à la fois un intérêt compensatoire et, en cas de retard, moratoire (TFA B 115/03 du 3 juin 2004, in : BPP n° 76 du 22 juillet 2004, ch. 455). 5. Intérêt compensatoire a) Aux termes de l'art. 8a al. 1 OLP,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 er janvier 2009, prévoit un taux d'au moins 2 % pour la période s'étendant du 1 er janvier au 31 décembre 2009 (let. f). Dès le 1 er janvier 2010, ce taux s'élève à 2 %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19 juin 2009, soit le jour-valeur du partage selon le jugement de divorce. En application des principes dégagés par la jurisprudence précitée (TFA, B 105/02 déjà cité), le taux de l'intérêt compensatoire payable sur le montant que doit transférer l'institution de prévoyance débitrice (18'279 fr. 40) est d'au moins 2 % l'an pour la période courant du 19 juin au 31 décembre 2009 (art. 12 let. f OPP 2). Il est toujours d'au moins 2 % l'an dès le 1 er janvier 2010 jusqu'au moment du transfert ou de la demeure (BPP n° 115 précité). 6.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actuelle, en corrélation avec l'art. 12 let. f OPP 2, au taux d'intérêt minimal fixé dans la LPP, augmenté d'un pour-cent. Il est ainsi d'au moins 3 % (soit 2 % + 1 %) pour les années 2009 et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retraite P.________ sera également débitrice d'un intérêt moratoire de 3 % l'an, en sus du montant à transférer augmenté de l'intérêt compensatoire calculé conformément à ce qui précède, pour autant que le règlement de prévoyance ne prévoie pas un taux supérieur (cf. TFA, B 105/02 précité, consid. 3.3). 7. a) Ordre doit ainsi être donné : - à la Fondation N.________ d'ouvrir un compte de prévoyance de libre passage au nom de B.T.________, respectivement d'entreprendre directement avec celle-ci toutes les démarches administratives utiles à cet effet. - à la Caisse de retraite P.________, de prélever sur le compte de libre passage ouvert au nom de A.T.________, la somme de 18'279 fr. 40 en capital, valeur au 19 juin 2009, plus un intérêt compensatoire d'au moins 2 % l'an du 19 juin au 31 décembre 2009 et d'au moins 2 % l'an du 1 er janvier 2010 jusqu'au jour du transfert ou de la demeure, et de verser ce montant en faveur de B.T.________, sur le compte de libre passage ouvert auprès de la Fondation N.________. b) En outre, en cas de retard dans le transfert de la prestation de libre passage à transférer calculée comme indiqué ci-dessus : - la Caisse de retraite P.________ versera sur le compte de libre passage ouvert auprès de la Fondation N.________, en faveur de B.T.________, un intérêt moratoire (d'au moins 3 % l'an) sur le montant à transférer (18'279 fr. 40), qui courra le cas échéant dès le 31 e jour suivant l'entrée en force du présent jugement, ou, en cas de recours au Tribunal fédéral, dès que l'arrêt de la Haute Cour aura été rendu. 8. Le montant de la prestation de sortie à transférer n'étant pas contesté, la cause a été tranchée par le juge instructeur statuant comme juge unique (art. 111 al. 1 LPA-VD). Par ces motifs, le juge unique prononce : I. Ordre est donné à la Fondation N.________ d'ouvrir un compte de prévoyance de libre passage au nom de B.T.________, après avoir entrepris directement avec celle-ci toutes les démarches administratives utiles à cet effet. II. Ordre est donné à la Caisse de retraite P.________, de prélever sur le compte de libre passage ouvert au nom de A.T.________, la somme de 18'279 fr. 40 en capital, valeur au 19 juin 2009, plus un intérêt compensatoire d'au moins 2 % l'an du 19 juin au 31 décembre 2009 et d'au moins 2 % l'an du 1 er janvier 2010 jusqu'au jour du transfert ou de la demeure, et de verser ce montant en faveur de B.T.________, sur le compte de libre passage ouvert auprès de la Fondation N.________. III. En cas de retard dans le transfert de la prestation de libre passage à transférer calculée comme indiqué ci-dessus, la Caisse de retraite P.________ versera sur le compte de libre passage ouvert auprès de la Fondation N.________, en faveur de B.T.________, un intérêt moratoire (d'au moins 3 % l'an) sur le montant à transférer (18'279 fr. 40), qui courra le cas échéant dès le 31 e jour suivant l'entrée en force du présent jugement, ou, en cas de recours au Tribunal fédéral, dès que l'arrêt de la Haute Cour aura été rendu. Le juge unique : Le greffier : Du Le jugement qui précède est notifié à : ‑      M. A.T.________, sans domicile connu, par avis dans la FAO, ‑      Mme B.T.________, -      Caisse de retraite P.________, -      Fondation N.________, -      Office fédéral des assurances sociales, et communiqué au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