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46 vom 26. August 2009</w:t>
      </w:r>
    </w:p>
    <w:p>
      <w:r>
        <w:t>VD Tribunal cantonal, 2009-08-26, FR</w:t>
      </w:r>
    </w:p>
    <w:p>
      <w:r>
        <w:rPr>
          <w:b/>
        </w:rPr>
        <w:t xml:space="preserve">Quelle: </w:t>
      </w:r>
      <w:r>
        <w:t>https://mcp.opencaselaw.ch/entscheid/vd_findinfo_Jug___2009___46</w:t>
      </w:r>
    </w:p>
    <w:p>
      <w:r>
        <w:t>FR: VD_FINDINFO Jug / 2009 / 46 du 26 août 2009</w:t>
      </w:r>
    </w:p>
    <w:p>
      <w:r>
        <w:t>IT: VD_FINDINFO Jug / 2009 / 46 del 26 agosto 2009</w:t>
      </w:r>
    </w:p>
    <w:p>
      <w:pPr>
        <w:pStyle w:val="Heading2"/>
      </w:pPr>
      <w:r>
        <w:t>Regeste</w:t>
      </w:r>
    </w:p>
    <w:p>
      <w:r>
        <w:t>DROIT AU GAIN, LIQUIDATION DU RÉGIME MATRIMONIAL, RÉCOMPENSE{RÉGIME MATRIMONIAL} | 206 CC, 207 CC, 209 CC, 212 CC, 215 al. 1 CC, 28 LDFR, 29 LDFR, 30 LDFR, 31 al. 1 LDFR, 31 al. 4 LDFR</w:t>
      </w:r>
    </w:p>
    <w:p>
      <w:pPr>
        <w:pStyle w:val="Heading2"/>
      </w:pPr>
      <w:r>
        <w:t>Erwägungen</w:t>
      </w:r>
    </w:p>
    <w:p>
      <w:r>
        <w:rPr>
          <w:b/>
        </w:rPr>
        <w:t>E. 15</w:t>
      </w:r>
    </w:p>
    <w:p>
      <w:r>
        <w:t>septembre 2009, n’est pas correct, puisque les dépens alloués à la demanderesse ont été arrêtés à 13'476 francs. Cette erreur provient du fait que l'on a tenu compte, dans le calcul des dépens, des quatre cinquièmes des frais de justice du défendeur à la place de ceux de la demanderesse. Une telle rectification du dispositif ne modifie pas matériellement le jugement de la cour. Le délai de recours n'ayant pas commencé à courir et les jugements de la Cour civile n'étant pas visés par l'art. 117a LOJV (loi d'organisation judiciaire du 12 décembre 1979, RSV 173.01), cette rectification intervient dans le délai prévu par l'art. 302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