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25 vom 20. November 2009</w:t>
      </w:r>
    </w:p>
    <w:p>
      <w:r>
        <w:t>VD Tribunal cantonal, 2009-11-20, FR</w:t>
      </w:r>
    </w:p>
    <w:p>
      <w:r>
        <w:rPr>
          <w:b/>
        </w:rPr>
        <w:t xml:space="preserve">Quelle: </w:t>
      </w:r>
      <w:r>
        <w:t>https://mcp.opencaselaw.ch/entscheid/vd_findinfo_Jug___2009___25</w:t>
      </w:r>
    </w:p>
    <w:p>
      <w:r>
        <w:t>FR: VD_FINDINFO Jug / 2009 / 25 du 20 novembre 2009</w:t>
      </w:r>
    </w:p>
    <w:p>
      <w:r>
        <w:t>IT: VD_FINDINFO Jug / 2009 / 25 del 20 novembre 2009</w:t>
      </w:r>
    </w:p>
    <w:p>
      <w:pPr>
        <w:pStyle w:val="Heading2"/>
      </w:pPr>
      <w:r>
        <w:t>Regeste</w:t>
      </w:r>
    </w:p>
    <w:p>
      <w:r>
        <w:t>HYPOTHÈQUE LÉGALE DES ARTISANS ET ENTREPRENEURS, CONTRAT D'ENTREPRISE GÉNÉRALE, PRIX FERME, RECONNAISSANCE DE DETTE ABSTRAITE, ACTION EN RÉDUCTION DU PRIX | 839 al. 2 CC, 17 CO, 363 CO, 368 al. 2 CO, 370 CO, 373 al. 1 CO</w:t>
      </w:r>
    </w:p>
    <w:p>
      <w:pPr>
        <w:pStyle w:val="Heading2"/>
      </w:pPr>
      <w:r>
        <w:t>Erwägungen</w:t>
      </w:r>
    </w:p>
    <w:p>
      <w:r>
        <w:rPr>
          <w:b/>
        </w:rPr>
        <w:t>E. 4</w:t>
      </w:r>
    </w:p>
    <w:p>
      <w:r>
        <w:t>ème éd., 2009, n. 4463). Par défaut, il faut comprendre la non-conformité au contrat de l'ouvrage. Ainsi définie, la notion de défaut est exhaustive et englobe aussi bien les défauts de l'ouvrage que les infractions au contrat, soit une exécution incorrecte du contrat (ATF 100 II 30, JT 1975 I 73; Gauch/Carron, op. cit., nn. 1438 ss). Les défauts apparents sont ceux qui ont été ou qui pouvaient être décelés lors de la vérification régulière de l'ouvrage et sa réception (art. 370 al. 1 CO). Il s'agit d'abord des défauts patents, qui sautent aux yeux du maître sans qu'une vérification de l'ouvrage soit nécessaire. Il s'agit également des défauts qui ne sont pas visibles d'emblée, mais que le maître doit apercevoir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op. cit., nn. 5 à 7 ad art. 370 CO). Selon l'art. 368 al. 2 CO, si un défaut de l'ouvrage ne rend pas celui-ci inutilisable ou inacceptable, le maître peut notamment réduire le prix en proportion de la moins-value. Le droit du maître à la réduction du prix est un droit formateur qui affecte le contenu du contrat d'entreprise. Il s'agit d'un droit à la réduction de la rémunération que le maître peut exercer par une manifestation unilatérale de volonté (Gauch/Carron, op. cit., n. 1611). c) A l'appui de leur prétention, les défendeurs se fondent sur l'avis de la société N.________ SA, qu'ils ont mandatée pour examiner leur chalet et qui a conclu à l'existence d'un tassement différentiel d'environ 3 à 4 cm entre les parties amont et aval du bâtiment. Ce constat, fait à la requête des défendeurs, constitue une expertise privée, qui, selon le Tribunal fédéral, ne vaut pas preuve, mais allégation d'une partie (ATF 132 III 83 c. 3.4, JT 2006 I 334; TF 4A_294/2009 et 4A_296/2009 du 25 août 2009 c. 5.2; TF 4D_8/2008 du 31 mars 2008). Cette jurisprudence a été développée sur la base de la procédure genevoise. En procédure vaudoise, l'expertise privée est une pièce, dont il peut être tenu compte en tant que telle. Il n'en demeure pas moins que sauf circonstances particulières, la préférence doit être accordée à l'expertise judiciaire, qui offre des garanties supérieures : l'impartialité de l'expert est garantie et l'expertise est mise en œuvre de manière contradictoire (cf. Bosshard, L'appréciation de l'expertise judiciaire par le juge, in RSPC 2007/3, pp. 321 ss). En l'espèce, il n'y a aucune raison de remettre en question les conclusions de l'expert judiciaire sur ce point. Or, cette expertise contredit totalement les constatations du bureau N.________ SA. L'expert a précisé avoir contrôlé tous les niveaux du chalet. L'horizontalité de chaque pièce a été établie, de même que la verticalité des murs et des piliers. Il a donc exclu l'existence d'un tassement différentiel et considéré qu'il n'y avait pas lieu de prévoir des travaux de stabilisation. Il a également précisé que, trois ans après sa construction, le tassement principal du chalet et sa prise de position dans le terrain étaient acquis. Il n'y a donc pas lieu de craindre une évolution défavorable qui pourrait aboutir à un tassement différentiel. Dans ces conditions, l'argumentation des défendeurs fondée sur les défauts affectant l'ouvrage apparaît infondée. IV. Les défendeurs prétendent que le contrat du 26 juin 2004 comprenait, dans le prix forfaitaire, l'exécution d'un chemin d'accès goudronné entre la route et leur chalet. Il soutiennent que le demandeur n'a pas exécuté l'enrobé du chemin, soit le goudronnage, ce qui représente des travaux d'un montant de 10'222 fr., selon eux. Les défendeurs estiment donc que cette somme doit être déduite du prix des travaux facturés par le demandeur. Il est exact que, lorsqu'un prix forfaitaire est convenu, l'entrepreneur doit exécuter l'ensemble des travaux envisagés. S'il ne le fait pas, le prix des travaux non effectués doit être déduit du forfait convenu. Les défendeurs n'ont toutefois pas apporté la preuve que le goudronnage du chemin d'accès était prévu dans le prix forfaitaire de 880'000 fr., fixé par contrat du 26 juin 2004. Ils ont ainsi prétendu que le poste "sol et revêtement de sol" figurant dans le plan financier du 25 juin 2004 englobait un chemin d'accès goudronné au chalet. L'expert l'a toutefois exclu, précisant que cette rubrique ne comprenait que des revêtements internes de carrelage. D'ailleurs, le chemin d'accès qui relie la zone d'entrée du chalet et la route n'était pas prévu sous sa forme actuelle dans le devis et les plans initiaux. L'accès devait avoir lieu par un chemin piétonnier, soit un escalier longeant la façade est des garages. Ce n'est que plus tard, soit dans le décompte de plus-value du 7 juillet 2005 établi par le demandeur, que la réalisation d'un chemin reliant directement l'entrée du chalet à la route a été prévue, en tout-venant 0/8 compacté. Dans ce décompte, le demandeur a pris en considération les modifications intervenues et a, en particulier, déduit le coût de l'escalier qui avait été abandonné. La plus-value engendrée par les travaux supplémentaires a donc été calculée correctement. Le chemin a été réalisé comme convenu, puisqu'il est resté en tout-venant, ce que l'expert a confirmé. Par la suite, les défendeurs ont apparemment fait procéder à la pose d'un enrobé 0/16 par une entreprise de leur choix, conformément au récapitulatif du 20 juillet 2005, selon lequel le coût de tels travaux serait facturé séparément. Au vu de ces éléments, les défendeurs ne peuvent être suivis lorsqu'ils affirment que le demandeur s'était engagé à exécuter un chemin d'accès avec tapis de finition. Dans un premier temps, seul un accès piétonnier était prévu. Ensuite, les parties sont convenues de la construction d'un chemin en tout-venant. La déduction que les défendeurs entendent opérer du prix forfaitaire convenu, voire des travaux supplémentaires générateurs de plus-value, à hauteur du prix du goudronnage du chemin d'accès à leur chalet, n'a donc pas lieu d'être. V. Les défendeurs ont allégué que le demandeur n'a pas acquitté l'ensemble des factures des entrepreneurs auxquels il a confié l'exécution de certains travaux de construction du chalet. Ils paraissent en déduire qu'ils étaient en droit de ne pas lui verser les montants correspondant aux dites factures. Sur le plan juridique, le bien-fondé de cette argumentation est très douteux, à tout le moins dans la mesure où les défendeurs ne prétendent pas avoir acquitté eux-mêmes les factures de certains entrepreneurs sous-traitants. En effet, lorsque l'entrepreneur principal conclu avec un sous-traitant un contrat d'entreprise par lequel il lui confie, en son propre nom et pour son propre compte, tout ou partie des travaux qu'il doit au maître principal, aucun rapport juridique relevant de contrat d'entreprise ne se noue entre ce dernier et le sous-traitant (Gauch/Carron, op. cit., nn. 137 et 162). Sous réserve d'exceptions, qui ne paraissent pas réalisées en l'espèce, le sous-traitant n'a donc pas de droit à la rémunération à faire valoir contre le maître principal (Gauch/Carron, op. cit., n. 173 et les références citées). A cela s'ajoute que les circonstances sur lesquelles les défendeurs s'appuient ne sont pas prouvées. L'instruction de la cause n'a en effet pas démontré que le demandeur n'aurait pas réglé la facture de l'entreprise L.________ AG ou de la société B.________ AG ou de tout autre sous-traitant intervenu sur le chantier de leur chalet. En ce qui concerne la seconde entreprise, un litige l'a opposée au demandeur devant le Tribunal de commerce du Canton de Berne. Il s'est soldé par une convention, aux termes de laquelle le demandeur a accepté de régler la facture de B.________ AG, par 42'769 fr. 30, avec intérêt. Le grief invoqué est donc dans tous les cas dénué de pertinence. Au vu des considérations qui précèdent, il apparaît que le demandeur dispose d'une créance à hauteur de 304'243 fr. 80 à l'encontre des défendeurs. Ceux-ci n'ayant pas apporté la preuve qu'il auraient également une créance à faire valoir contre le demandeur, l'exception de compensation qu'ils ont invoquée est sans effet. VI. a) Le demandeur conclut à l'inscription définitive de l'hypothèque légale grevant provisoirement la parcelle n° 4760 de la Commune d' [...] propriété des défendeurs, à concurrence d'un montant de 285'366 fr. 10, avec intérêt à 5 % l'an dès le 25 août 2005. b) Conformément à l'art. 839 al. 2 CC, l'inscription d'une hypothèque légale des artisans et entrepreneurs doit être requise au plus tard dans les trois mois qui suivent l'achèvement des travaux. Selon la jurisprudence et la doctrine, l'inscription doit être opérée, fût-ce à titre provisoire, dans ce délai péremptoire (ATF 126 III 462/466, JT 2001 I 178; ATF 119 II 429 cons. 2 a, JT 1995 I 352; Steinauer, Les droits réels, tome III, 3 ème éd., n. 2883). Il appartient à l'entrepreneur ou à l'artisan d'établir que le délai de trois mois est respecté (SJ 1986 p. 103). Si on ignore quand les travaux de construction du chalet et des garages sur la parcelle des défendeurs ont pris fin, on sait qu'une douche et du carrelage ont été posés le 30 juin 2005. A cette date, les travaux n'étaient donc pas terminés et le délai de l'art. 839 al. 2 CC a commencé à courir le 1 er juillet 2005 au plus tôt. Le demandeur fait valoir que la requête de mesures provisionnelles et d'extrême urgence du 12 septembre 2005 a été déposée dans le délai de trois mois suivant la fin des travaux. Il ne suffit toutefois pas que l'inscription d'une hypothèque légale soit demandée dans le délai de trois mois de l'art. 839 al. 2 CC. Ce délai est respecté par l'inscription provisoire du droit en la forme d'une annotation (art. 961 al. 1 CC), de sorte que les effets du droit de gage créée par l'inscription définitive ultérieure remonte au jour de l'inscription provisoire (art. 961 al. 2 CC) (ATF 126 III 462 c. 2c, JT 2001 I 178). Dans la présente cause, on ignore quand exactement l'inscription prescrite par l'ordonnance de mesures préprovisionnelles du 13 septembre 2005 a été portée au registre foncier, le demandeur n'ayant pas allégué ces circonstances. On sait, en revanche, que par convention de mesures provisionnelles signée les 28 et 29 septembre 2005, les défendeurs ont admis l'annotation provisoire de l'hypothèque légale inscrite à titre préprovisoire. Cela signifie qu'au moment de la signature de cette convention, l'inscription ordonnée par voie de mesures d'extrême urgence avait été exécutée au registre foncier. Puisque le délai de trois mois de l'art. 839 al. 2 CC est arrivé à échéance le 1 er octobre 2005 au plus tôt, cela suffit pour admettre qu'il a été respecté. c) Pour bénéficier de l'hypothèque légale, un artisan ou un entrepreneur doit avoir fourni des matériaux et du travail ou du travail seulement (art. 837 al. 1 ch. 3 CC). L'étendue de l'hypothèque est fonction de la plus-value apportée à l'immeuble par les travaux de construction (Steinauer, op. cit., n. 2914). En outre, en vertu des art. 839 al. 3 CC et 22 al. 2 ORF (ordonnance du 22 février 1910 sur le registre foncier, RS 211.432.1), l'inscription définitive d'une hypothèque légale ne peut avoir lieu que si la créance est établie dans son principe et sa quotité. Tant le principe que la quotité de la créance dont dispose le demandeur a l'encontre de défendeurs ont été établis ci-dessus, à savoir 304'243 fr. 80 en paiement du solde du coût des travaux de construction du chalet et des garages sur la parcelle n° 4760 de la Commune d' [...]. Toutefois, le demandeur requiert l'inscription d'une hypothèque légale à concurrence de 285'366 fr. 10 uniquement. Puisqu'on ne peut statuer ultra petita (art. 3 CPC [Code de procédure civile du 14 décembre 1966, RSV 270.11], il convient de s'en tenir à ce montant. Enfin, l'action en inscription définitive d'une hypothèque légale est indépendante de l'action en paiement du prix de l'ouvrage (ATF 126 III 467 c. 3.b, rés. in JT 2001 I 193; ATF 105 II 149 c. 2b, JT 1980 I 177). Le fait que le demandeur n'ait pris aucune conclusion en paiement ne fait donc pas obstacle à l'inscription définitive de l'hypothèque légale. d) Le demandeur requiert l'octroi de l'intérêt moratoire, au taux de 5 % l'an dès le 25 août 2005. 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Le taux de l'intérêt moratoire est fixé au minimum à 5 % l'an; toutefois, si le contrat stipule un intérêt supérieur, directement ou sous la forme d'une provision de banque périodique, le créancier peut exiger cet intérêt plus élevé (art. 104 al. 1 et 2 CO). Le demandeur a interpellé les défendeurs pour qu'ils paient la créance déduite en justice pour la première fois par lettre du 25 août 2005. Par celle-ci, il leur a accordé un délai au 31 août suivant pour s'exécuter. Les défendeurs sont donc en demeure depuis le 1 er septembre 2005 et l'intérêt moratoire a commencé à courir dès cette date, au taux légal de 5 % l'an. VII. En définitive, les conclusions prises par le demandeur doivent être admises en ce sens que l'inscription définitive d'un l'hypothèques légale, à concurrence de 285'366 fr. 10, avec intérêt à 5 % l'an dès le 1 er septembre 2005, est ordonnée, en faveur du demandeur, sur la parcelle dont les défendeurs sont copropriétaires, chacun pour une demie.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le demandeur obtient gain de cause sous réserve du point de départ de l'intérêt moratoire, qui constitue une question accessoire. Il a donc droit à de pleins dépens, à la charge des défendeurs, solidairement entre eux, qu'il convient d'arrêter à 20'758 fr., savoir : a) 12'000 fr.               à titre de participation aux honoraires de son conseil; b) 600 fr.               pour les débours de celui‑ci; c) 8'158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