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 vom 15. Mai 2009</w:t>
      </w:r>
    </w:p>
    <w:p>
      <w:r>
        <w:t>VD Tribunal cantonal, 2009-05-15, FR</w:t>
      </w:r>
    </w:p>
    <w:p>
      <w:r>
        <w:rPr>
          <w:b/>
        </w:rPr>
        <w:t xml:space="preserve">Quelle: </w:t>
      </w:r>
      <w:r>
        <w:t>https://mcp.opencaselaw.ch/entscheid/vd_findinfo_Jug___2009___2</w:t>
      </w:r>
    </w:p>
    <w:p>
      <w:r>
        <w:t>FR: VD_FINDINFO Jug / 2009 / 2 du 15 mai 2009</w:t>
      </w:r>
    </w:p>
    <w:p>
      <w:r>
        <w:t>IT: VD_FINDINFO Jug / 2009 / 2 del 15 maggio 2009</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15.05.2009 Jug / 2009 / 2</w:t>
      </w:r>
    </w:p>
    <w:p>
      <w:r>
        <w:t>DIVORCE, PRÉVOYANCE PROFESSIONNELLE, PRÉVOYANCE PROFESSIONNELLE SELON LA LPP, PARTAGE{SENS GÉNÉRAL}, INTÉRÊT MORATOIRE, INTÉRÊT RÉMUNÉRATOIRE | 122 CC, 142 al. 2 CC, 22 LFLP, 8a OLP, 12 OPP2</w:t>
      </w:r>
    </w:p>
    <w:p>
      <w:r>
        <w:t>TRIBUNAL CANTONAL PPD 17/08 - 16/2009 COUR DES ASSURANCES SOCIALES _____________________________________________ Arrêt du 15 mai 2009 __________________ Présidence de   M. Abrecht, juge unique Greffier : M.      Addor ***** Cause pendante entre : A.W.________ , à Corcelles-le-Jorat, B.W.________ , à Rue (FR), représentée par Me Joël Crettaz, à Lausanne, et caisse de pension H.________, gérée par la caisse de pension M.________ , à Lausanne, caisse de pension T.________ , à Lausanne. _______________ Art. 142 al. 2 CC E n  f a i t  : A. A.W.________, né le 7 mai 1963, et B.W.________, née [...] le 29 mars 1967, se sont mariés le 29 juillet 1994 à Lausanne. Par jugement rendu le 14 octobre 2008, le Tribunal civil de l'arrondissement de l'Est vaudois a prononcé le divorce des époux A.W.________ et B.W.________. Le chiffre IX du dispositif prévoit que "les prestations de sortie accumulées pendant le mariage par A.W.________ sur le compte n° [...] auprès de la caisse de pension H.________, gérée par la caisse de pension M.________ (…) et par B.W.________ sur le compte n° [...] auprès de la caisse de pension T.________, (…) seront partagées par moitié", le dossier étant transféré d'office au juge instructeur du Tribunal des assurances à cette fin (ch. X du dispositif). Le 14 novembre 2008, la juridiction civile a transmis à l'autorité de céans une copie du jugement précité, en précisant qu'il était définitif et exécutoire dès le 5 novembre 2008. B. 1. S'agissant de l'ex-époux, il résulte d'un courrier de la caisse de pension M.________ (la caisse de pension H.________, gérée par la caisse de pension M.________ est une caisse autonome gérée par la caisse de pension M.________) du 24 décembre 2008 que la prestation de sortie au 5 novembre 2008 était de 396'527 fr. La prestation de sortie au jour du mariage, soit au 29 juillet 1994, s'élevait à 107'446 fr. y compris les intérêts courus du 29 juillet 1994 au 5 novembre 2008. La prestation de sortie à partager s'élevait donc au 5 novembre 2008 à 289'081 fr. (396'527 fr. - 107'446 fr.). 2. Dans une lettre du 5 décembre 2008, la caisse de pension T.________ a indiqué que la prestation de libre passage accumulée pendant la durée de l'affiliation de l'ex-épouse auprès d'elle, soit du 8 janvier 2007 au 5 novembre 2008, s'élevait à 29'997 fr. 55, ce montant incluant une prestation de libre passage de 26'588 fr. 05 provenant du fonds de prévoyance N.________ en date du 24 juillet 2007. C. Invité à se prononcer sur ces éléments chiffrés, l'ex-époux ne s'est pas déterminé. Quant à l'ex-épouse, elle a fait savoir par l'intermédiaire de son conseil le 5 mars 2009 que, sur la base des indications fournies par les caisses de pension de chacun des ex-époux, le montant qui doit lui revenir s'élève à 129'542 fr. E n  d r o i t  : 1. a) La cause a été transmise à l'autorité de céans pour qu'elle procède au partage des avoirs de prévoyance conformément aux dispositions topiques du code civil (ci-après : CC, RS 210) et en considérant les données chiffrées contenues dans le dossier constitué. b) A teneur de l'art. 117 al. 1 LPA-VD (loi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2. Le présent arrêt a pour seul objet le partage par moitié de la prestation de sortie acquise par les ex-époux durant le mariage, les éléments chiffrés n'étant pas contestés en eux-mêmes. 3. a) L'art. 22 LFLP (loi fédérale du 17 décembre 1993 sur le libre passage dans la prévoyance professionnelle vieillesse, survivants et invalidité, RS 831.42), dans sa teneur applicable dès le 1 er janvier 2000,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Il convient à présent de calculer la prestation de sortie à partager entre les deux ex-époux. a) Dès lors que le jugement de divorce est entré en force le 5 novembre 2008, dite date est la seule à prendre en compte pour le calcul des avoirs à partager et le juge des assurances, dont la tâche consiste uniquement dans le calcul du partage des parts, ne saurait s'en écarter (cf. ATF 132 V 236 consid. 2.3). b)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(cf. ATF 129 V 251 consid. 2.3, 128 V 41). c) En l'espèce, la prestation de sortie acquise par A.W.________ s'élève à 289'081 fr. au 5 novembre 2008, celle de B.W.________, née [...], s'élevant à 29'997 fr. 55 à la même date. La prestation de sortie à partager est donc de 259'083 fr. 45 (289'081 fr. - 29'997 fr. 55), dont la moitié, soit 129'542 fr. (chiffre arrondi) doit être versée en faveur de B.W.________, née [...]. Sur la somme de la prestation de sortie à transférer, soit 129'542 fr., l'institution de prévoyance débitrice doit en outre verser à la fois un intérêt compensatoire et, en cas de retard, moratoire (TFA B 115/03 du 3 juin 2004, in : BPP n° 76 du 22 juillet 2004, ch. 455). 5.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 er janvier 2009, prévoit que ledit taux était d'au moins 2,75 % pour la période à partir du 1 er janvier 2008 jusqu'au 31 décembre 2008 (let. e) et qu'il est d'au moins 2 % pour la période à partir du 1 er janvier 2009 (let. f).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5 novembre 2008, soit le jour-valeur du partage selon le jugement de divorce. En application des principes dégagés par la jurisprudence précitée (TFA, arrêt B 105/02 déjà cité), le taux de l'intérêt compensatoire payable sur le montant que doit transférer l'institution de prévoyance débitrice (129'542 fr.) est d'au moins 2,75 % l'an pour la période courant du 5 novembre 2008 au 31 décembre 2008 (art. 12 let. e OPP 2) et d'au moins 2 % l'an dès le 1 er janvier 2009 jusqu'au moment du transfert ou de la demeure (art. 12 let. f OPP 2). 6. Intérêt moratoire a) Toujours dans ce même arrêt (TFA, arrêt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depuis le 1 er janvier 2005, qui est toujours en vigueur, en corrélation avec l'art. 12 let. f OPP 2, au taux d'intérêt minimal fixé dans la LPP, augmenté d'un pour-cent. Il est ainsi d'au moins 3 % (soit 2 % + 1 %) pour l'année 2009. b) Si, comme en l'espèce, c'est le juge de la prévoyance selon l'art. 142 CC qui fixe le montant de la prestation de sortie, l'intérêt moratoire est dû dès le 31 e jour suivant l'entrée en force de l'arrêt de cette autorité (cf. arrêt B 105/02 cité, consid. 3.2). L'institution de prévoyance débitrice sera ainsi réputée en demeure si le montant à transférer - intérêt compensatoire jusqu'au jour du transfert inclus - n'a pas été versé dans les trente jours suivant l'entrée en force de l'arrêt de l'autorité de céans, ou, en cas de recours au Tribunal fédéral, dès que l'arrêt de ladite instance a été prononcé (art. 61 de la loi fédérale du 17 juin 2005 sur le Tribunal fédéral [LTF], RS 173.110, en corrélation avec les art. 82 ss. de cette loi; BPP n° 95 du 22 novembre 2006, ch. 563, spéc. pp. 11 ss.). c) Ainsi, en cas de demeure, soit à compter du 31 e jour dès l'entrée en force du présent arrêt, la caisse de pension H.________, gérée par la caisse de pension M.________, est également débitrice d'un intérêt moratoire de 3 % l'an, en sus du montant à transférer (129'542 fr.) augmenté de l'intérêt compensatoire calculé conformément à ce qui précède, pour autant que le règlement de prévoyance ne prévoie pas un taux supérieur (cf. arrêt B 105/02 déjà cité, consid. 3.3). 7. a) Cela étant, ordre doit être donné à la caisse de pension H.________, gérée par la caisse de pension M.________, de prélever sur le compte de libre passage ouvert au nom de A.W.________ (contrat n° [...] - assurance n° [...]), la somme de 129'542 fr. en capital, valeur au 5 novembre 2008, plus un intérêt compensatoire d'au moins 2,75 % l'an du 5 novembre 2008 au 31 décembre 2008 et d'au moins 2 % l'an du 1 er janvier 2009 jusqu'au jour du transfert ou de la demeure, et de verser ce montant en faveur de B.W.________, née [...], sur la police de libre passage n° [...] (dossier de prévoyance professionnelle n° [...]) déposée auprès de la caisse de pension T.________. b) En outre, en cas de retard dans le transfert de la prestation de libre passage à transférer calculée comme indiqué ci-dessus, la caisse de pension H.________, gérée par la caisse de pension M.________, versera sur la police de libre passage n° [...] (dossier de prévoyance professionnelle n° [...]) déposée auprès de la caisse de pension T.________, en faveur de B.W.________, née [...], un intérêt moratoire (d'au moins 3 % l'an) sur le montant à transférer (129'542 fr.), qui court dès le 31 e jour suivant l'entrée en force du présent arrêt, ou, en cas de recours au Tribunal fédéral, dès que l'arrêt de la Haute Cour aura été rendu. 8. Le montant de la prestation de sortie à partager n'étant pas contesté, la cause doit être tranchée par le magistrat instructeur statuant comme juge unique (art. 111 al. 1 LPA-VD). Par ces motifs, le juge unique prononce : I. Ordre est donné : à la caisse de pension H.________, gérée par la caisse de pension M.________, de prélever sur le compte de libre passage ouvert au nom de A.W.________ (contrat n° [...] - assurance n° [...]), la somme de 129'542 fr. (cent vingt-neuf mille cinq cent quarante-deux francs) en capital, valeur au 5 novembre 2008, plus un intérêt compensatoire d'au moins 2,75 % l'an du 5 novembre 2008 au 31 décembre 2008 et d'au moins 2 % l'an du 1 er janvier 2009 jusqu'au jour du transfert ou de la demeure, et de verser ce montant en faveur de B.W.________, née [...] sur la police de libre passage n° [...] (dossier de prévoyance professionnelle n° [...]) déposée auprès de la caisse de pension T.________. II. En outre, en cas de retard dans le transfert de la prestation de libre passage calculée comme indiqué ci-dessus : la caisse de pension H.________, gérée par la caisse de pension M.________, versera sur la police de libre passage n° [...] (dossier de prévoyance professionnelle n° [...]) déposée auprès de la caisse de pension T.________, en faveur de B.W.________, née [...], un intérêt moratoire (d'au moins 3 % l'an) sur le montant à transférer (129'542 fr.), qui court dès le 31 e jour suivant l'entrée en force du présent arrêt, ou, en cas de recours au Tribunal fédéral, dès que l'arrêt de la Haute Cour aura été rendu. Le juge unique : Le greffier : Du L'arrêt qui précède est notifié à : ‑ A.W.________ ‑      Me Joël Crettaz (pour B.W.________, née [...]) -      caisse de pension H.________, gérée par la caisse de pension M.________ -      caisse de pension M.________ -      caisse de pension T.________ -      Office fédéral des assurances sociales et communiqué au : ‑      Tribunal d'arrondissement de l'Est vaudois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