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Jug-par-déf / 2010 / 1 vom 29. April 2010</w:t>
      </w:r>
    </w:p>
    <w:p>
      <w:r>
        <w:t>VD Tribunal cantonal, 2010-04-29, FR</w:t>
      </w:r>
    </w:p>
    <w:p>
      <w:r>
        <w:rPr>
          <w:b/>
        </w:rPr>
        <w:t xml:space="preserve">Quelle: </w:t>
      </w:r>
      <w:r>
        <w:t>https://mcp.opencaselaw.ch/entscheid/vd_findinfo_Jug-par-d_f___2010___1</w:t>
      </w:r>
    </w:p>
    <w:p>
      <w:r>
        <w:t>FR: VD_FINDINFO Jug-par-déf / 2010 / 1 du 29 avril 2010</w:t>
      </w:r>
    </w:p>
    <w:p>
      <w:r>
        <w:t>IT: VD_FINDINFO Jug-par-déf / 2010 / 1 del 29 aprile 2010</w:t>
      </w:r>
    </w:p>
    <w:p>
      <w:pPr>
        <w:pStyle w:val="Heading2"/>
      </w:pPr>
      <w:r>
        <w:t>Regeste</w:t>
      </w:r>
    </w:p>
    <w:p>
      <w:r>
        <w:t>MANDAT, PROROGATION DE FOR, HONORAIRES, APPLICABILITÉ DES TRAITÉS, CHAMP D'APPLICATION{EN GÉNÉRAL}, DROIT INTERNATIONAL PRIVÉ, RATTACHEMENT, DOMMAGES-INTÉRÊTS, CLASSEMENT DE LA PROCÉDURE, POURSUITE POUR DETTES, JUGEMENT PAR DÉFAUT | 17 ch. 1 CL, 102 CO, 104 al. 1 CO, 106 CO, 394 al. 3 CO, 394 CO, 305 al. 1 CPC, 306 CPC, 1 al. 1 LFors, 8a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société [...] SA, dont le siège était à [...], avait pour but : "production, commerce et vente de boissons". Jusqu'au 25 novembre 2004, elle a eu le défendeur K.________ pour administrateur.</w:t>
      </w:r>
    </w:p>
    <w:p>
      <w:r>
        <w:rPr>
          <w:b/>
        </w:rPr>
        <w:t>E. 2</w:t>
      </w:r>
    </w:p>
    <w:p>
      <w:r>
        <w:t>a) Du mois de juillet 2001 au mois de septembre 2001, sans qu'aucun contrat de mandat n'ait été signé et sans que le demandeur P.________ ait offert ses services à titre gracieux, ce dernier a agi pour le défendeur, en faveur de la société [...] SA, en qualité d'intermédiaire pour la conclusion de contrats de vente et de distribution de la boisson énergétique [...]. b) Le 27 septembre 2001, le demandeur, alors domicilié à Munich, en Allemagne, a conclu avec le défendeur un contrat qui ne faisait que confirmer les rapports juridiques antérieurs. La teneur de ce contrat, dont les parties s'accordent à dire qu'il s'agit d'un mandat, est notamment la suivante : "[…]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