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62 vom 10. September 2010</w:t>
      </w:r>
    </w:p>
    <w:p>
      <w:r>
        <w:t>VD Tribunal cantonal, 2010-09-10, FR</w:t>
      </w:r>
    </w:p>
    <w:p>
      <w:r>
        <w:rPr>
          <w:b/>
        </w:rPr>
        <w:t xml:space="preserve">Quelle: </w:t>
      </w:r>
      <w:r>
        <w:t>https://mcp.opencaselaw.ch/entscheid/vd_findinfo_Jug-inc___2010___62</w:t>
      </w:r>
    </w:p>
    <w:p>
      <w:r>
        <w:t>FR: VD_FINDINFO Jug-inc / 2010 / 62 du 10 septembre 2010</w:t>
      </w:r>
    </w:p>
    <w:p>
      <w:r>
        <w:t>IT: VD_FINDINFO Jug-inc / 2010 / 62 del 10 settembre 2010</w:t>
      </w:r>
    </w:p>
    <w:p>
      <w:pPr>
        <w:pStyle w:val="Heading2"/>
      </w:pPr>
      <w:r>
        <w:t>Regeste</w:t>
      </w:r>
    </w:p>
    <w:p>
      <w:r>
        <w:t>DÉCISION INCIDENTE, COMPÉTENCE RATIONE LOCI, TESTAMENT, SUCCESSION, DROIT INTERNATIONAL PRIVÉ, ÉLECTION DE DROIT, PROROGATION DE FOR | 147 CPC, 150 al. 2 CPC, 19 CPC, 58 al. 1 CPC, 58 al. 2 CPC, 59 al. 1 CPC, 90 al. 1 CPC, 91 let. c CPC, 92 al. 1 CPC, 86 al. 1 LDIP</w:t>
      </w:r>
    </w:p>
    <w:p>
      <w:pPr>
        <w:pStyle w:val="Heading2"/>
      </w:pPr>
      <w:r>
        <w:t>Erwägungen</w:t>
      </w:r>
    </w:p>
    <w:p>
      <w:r>
        <w:rPr>
          <w:b/>
        </w:rPr>
        <w:t>E. 1</w:t>
      </w:r>
    </w:p>
    <w:p>
      <w:r>
        <w:t>Commune [...] N° immeuble [...] Adresse [...] N° plan principal [...] Surface 5917 m2 Estimation fiscale CHF 347’000.-, RG 1994</w:t>
      </w:r>
    </w:p>
    <w:p>
      <w:r>
        <w:rPr>
          <w:b/>
        </w:rPr>
        <w:t>E. 2</w:t>
      </w:r>
    </w:p>
    <w:p>
      <w:r>
        <w:t>Commune [...] N° immeuble [...] Adresse [...] N° plan principal [...] Surface 3879 m2 Estimation fiscale CHF 4’600.-, RG 1996</w:t>
      </w:r>
    </w:p>
    <w:p>
      <w:r>
        <w:rPr>
          <w:b/>
        </w:rPr>
        <w:t>E. 3</w:t>
      </w:r>
    </w:p>
    <w:p>
      <w:r>
        <w:t>Compte courant n° [...]</w:t>
      </w:r>
    </w:p>
    <w:p>
      <w:r>
        <w:rPr>
          <w:b/>
        </w:rPr>
        <w:t>E. 4</w:t>
      </w:r>
    </w:p>
    <w:p>
      <w:r>
        <w:t>e éd., Bâle 2005, n. 1 ad art. 86 LDIP; Bonomi/Bertholet, La professio juris en droit international privé suisse et comparé, in Mélanges publiés par l'Association des notaires vaudois à l'occasion de son centenaire, Genève/Zurich/Bâle 2005, pp. 355 ss, spéc. pp. 368 s.), que le testament du 2 mai 1990 n'apparaît pas comprendre de professio fori en faveur des autorités judiciaires néerlandaises, qu'en tout état de cause, le for de la succession est soustrait à la disposition du de cujus (ATF 81 II 495, JT 1956 I 252, p. 253; Schnyder/Liatowitsch, Basler Kommentar, 2 e éd., Bâle 2007, n. 20 ad art. 86 LDIP; Patocchi/Geisinger, Code DIP annoté, Lausanne 1995, n. 3 ad art. 86 LDIP), qu'une prorogation de for ne pourrait être fondée que par accord entre les parties au litige successoral, qu'en l'espèce, un tel accord fait défaut, que, par conséquent, la requête incidente du 18 septembre 2009 est sans fondement, qu'elle doit ainsi être rejetée, que les frais de la procédure incidente doivent être arrêtés à 900 fr. (art. 170a al. 1 du tarif des frais judiciaires en matière civile du 4 décembre 1984 [RSV 270.11.5]), à la charge du requérant, que l'intimée, qui obtient gain de cause, a droit à de pleins dépens de la procédure incidente, à la charge du requérant, qu'il convient d'arrêter à 1'200 fr., à titre de participation aux honoraires de son conseil. Par ces motifs, le juge instructeur, statuant à huis clos et par voie incidente, prononce : I. La requête incidente en déclinatoire déposée le 18 septembre 2009 par le requérant A.R.________ est rejetée. II. Les frais de la procédure incidente sont arrêtés à 900  fr. (neuf cents francs) pour le requérant. III. Le requérant versera à l'intimée P.________ le montant de 1'200 fr. (mille deux cents francs) à titre de dépens. IV. Il n'est pas alloué d'autres dépens de l'incident. Le juge instructeur :              Le greffier : P. Muller              J. Greuter Du Le jugement qui précède, dont le dispositif a été expédié pour notification le 10 septembre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