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908 vom 14. November 2025</w:t>
      </w:r>
    </w:p>
    <w:p>
      <w:r>
        <w:t>VD Tribunal cantonal, 2025-11-14, FR</w:t>
      </w:r>
    </w:p>
    <w:p>
      <w:r>
        <w:rPr>
          <w:b/>
        </w:rPr>
        <w:t xml:space="preserve">Quelle: </w:t>
      </w:r>
      <w:r>
        <w:t>https://mcp.opencaselaw.ch/entscheid/vd_findinfo_HC___2025___908</w:t>
      </w:r>
    </w:p>
    <w:p>
      <w:r>
        <w:t>FR: VD_FINDINFO HC / 2025 / 908 du 14 novembre 2025</w:t>
      </w:r>
    </w:p>
    <w:p>
      <w:r>
        <w:t>IT: VD_FINDINFO HC / 2025 / 908 del 14 novembre 2025</w:t>
      </w:r>
    </w:p>
    <w:p>
      <w:pPr>
        <w:pStyle w:val="Heading2"/>
      </w:pPr>
      <w:r>
        <w:t>Regeste</w:t>
      </w:r>
    </w:p>
    <w:p>
      <w:r>
        <w:t>MOTIVATION DE LA DEMANDE, GARDE ALTERNÉE, REJET DE LA DEMANDE, OBLIGATION D'ENTRETIEN, REVENU HYPOTHÉTIQUE, DOMICILE, INFRACTION | 125 al. 3 ch. 3 CC, 25 al. 1 CC, 285 CC, 311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Si l’affaire relève du droit de la famille et ne porte pas que sur les aspects financiers, il s’agit d’une cause non patrimoniale (cf. par ex. TF 5A_260/2019 du 5 novembre 2019 consid. 1).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w:t>
      </w:r>
    </w:p>
    <w:p>
      <w:r>
        <w:rPr>
          <w:b/>
        </w:rPr>
        <w:t>E. 2</w:t>
      </w:r>
    </w:p>
    <w:p>
      <w:r>
        <w:t>let. a CPC) contre une ordonnance de mesures provisionnelles portant sur des conclusions non patrimoniales,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2.2</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L’application des maximes inquisitoire et d’office prévue par l’art. 296 CPC s’étend à la procédure d'appel (TF 5A_895/2022 du 17 juillet 2023 consid. 9.3 et les réf. cit.).</w:t>
      </w:r>
    </w:p>
    <w:p>
      <w:r>
        <w:rPr>
          <w:b/>
        </w:rPr>
        <w:t>E. 2.3</w:t>
      </w:r>
    </w:p>
    <w:p>
      <w:r>
        <w:t>En vertu de l’art. 317 al. 1 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Il en résulte que l’ensemble des pièces produites par l'appelant sont recevables. Il en a été tenu compte dans la mesure de leur pertinence.</w:t>
      </w:r>
    </w:p>
    <w:p>
      <w:r>
        <w:rPr>
          <w:b/>
        </w:rPr>
        <w:t>E. 2.4</w:t>
      </w:r>
    </w:p>
    <w:p>
      <w:r>
        <w:t>L’application des maximes inquisitoire illimitée et d’office n’atténue pas l’obligation de motivation ancrée à l’art. 311 al. 1 CPC (ATF 138 III 374 consid. 4.3.1;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 De surcroît, il n'appartient pas au tribunal de conseiller les parties du point de vue procédural. Il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2.3.1 et 2.3.2 ; TF 4A_67/2021 du 8 avril 2021 consid 4.1.1 et les réf. cit.). Ainsi, le juge n'a pas l'obligation d'instruire d'office le litige lorsqu'une partie renonce à expliquer sa position (ATF 141 III 569 consid. 2.3.1 ; TF 5A_622/2020 du 25 novembre 2021 consid. 3.2.2 ; Juge unique CACI 4 mai 2023/183 consid. 2.3).</w:t>
      </w:r>
    </w:p>
    <w:p>
      <w:r>
        <w:rPr>
          <w:b/>
        </w:rPr>
        <w:t>E. 3.1</w:t>
      </w:r>
    </w:p>
    <w:p>
      <w:r>
        <w:t>Dans un premier grief, l’appelant soutient que l’élargissement de son droit aux relations personnelles sur l’enfant C.Z.________ s’apparente à une forme de garde alternée. A l’appui de sa conclusion, l’appelant invoque plusieurs circonstances, à savoir que son fils passerait 42 % de son temps auprès de lui, qu’il serait présent pour ses cours et compétitions de [...], qu’il aurait pris l’initiative de mettre sur pied des cours d’appui qu’il assumerait seul financièrement et que les déclarations de l’enfant C.Z.________, protocolées lors de son audition en ce sens qu’il souhaitait un statu quo , devraient être pondérées compte tenu de son âge. L’appelant soutient au surplus que l’enfant C.Z.________ serait influencé par la présence d’un chat au domicile de l’intimée, que cette dernière a été récemment condamnée en première instance pour menaces qualifiées à son encontre et que des manquements éducatifs graves ont été relevés chez celle-ci ayant nécessité l’intervention des enseignants de l’enfant C.Z.________. De surcroît, l’appelant fait valoir que les difficultés de communication tiendraient pour l’essentiel au comportement de l’intimée et qu’il en découlerait un manque de cadre dans l’exercice conjoint de la parentalité, respectivement de confiance réciproque.</w:t>
      </w:r>
    </w:p>
    <w:p>
      <w:r>
        <w:rPr>
          <w:b/>
        </w:rPr>
        <w:t>E. 3.2</w:t>
      </w:r>
    </w:p>
    <w:p>
      <w:r>
        <w:t>Lorsque l'autorité parentale est exercée conjointement, la possibilité d'une garde alternée est examinée si le père, la mère ou l'enfant le demande (art. 298 al. 2ter CC).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(ATF 142 III 612 consid. 4.2, 617 consid. 3.2.3 ; TF 5A_338/2024 du 10 mars 2025 consid. 4.4.2). En matière d'attribution des droits parentaux, le bien de l'enfant constitue en effet la règle fondamentale (ATF 150 III 97 consid. 4.3.2 ; ATF 141 III 328 consid. 5.4), les intérêts des parents devant être relégués au second plan (ATF 142 III 617 consid. 3.2.3 et les réf.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(ATF 142 III 612 consid. 4.3, 617 consid. 3.2.3 ; TF 5A_338/2024 précité consid. 4.4.2). Il faut choisir la solution qui, au regard des données de l'espèce, est la mieux à même d'assurer à l'enfant la stabilité des relations nécessaires à un développement harmonieux des points de vue affectif, psychique, moral et intellectuel.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(ATF 142 III 612 consid. 4.3, 617 consid. 3.2.3 ; TF 5A_338/2024 précité consid. 4.4.2). Si le juge ne peut se contenter d'attribuer l'enfant au parent qui en a eu la garde pendant la procédure, ce critère jouit d'un poids particulier lorsque les capacités d'éducation et de soins des parents sont similaires (ATF 136 I 178 consid. 5.3 ; ATF 115 II 206 consid. 4a ; TF 5A_808/2022 du 12 juin 2023 consid. 4.4.1 et les réf. cit.).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5A_338/2024 précité consid. 4.4.2 ; TF 5A_495/2024 du 20 décembre 2024 consid. 4.2 ; TF 5A_49/2023 du 21 novembre 2023 consid. 3.1.1).</w:t>
      </w:r>
    </w:p>
    <w:p>
      <w:r>
        <w:rPr>
          <w:b/>
        </w:rPr>
        <w:t>E. 3.3</w:t>
      </w:r>
    </w:p>
    <w:p>
      <w:r>
        <w:t>En l’espèce, hormis la production de pièces relatives à son implication dans le suivi des loisirs de l’enfant C.Z.________, ainsi qu’un jugement rendu contre l’intimée le 14 mai 2025 par le Tribunal de police de l’arrondissement de la Broye et du Nord vaudois, les circonstances invoquées par l’appelant ne sont pas étayées par une quelconque référence à quelque élément de l’instruction que ce soit. Or, il ne revient pas au juge d’appel de rechercher dans le dossier des moyens de preuve en faveur de l’appelant en l’absence de désignation claire par ce dernier des pièces sur lesquelles repose sa critique, ce d’autant moins que celui-ci est représenté par un avocat (cf. supra consid. 2.4). Au surplus, le grief de l’appelant ne contient aucun argument détaillé prenant appui sur des éléments de l’instruction pour contrer l’appréciation pertinente de la première juge à propos de l’absence de communication qu’elle a considéré – à juste titre – incompatible avec l’exercice d’une garde alternée ou l’élargissement des relations personnelles dans un contexte de conflit conjugal majeur émaillé de comportements pénaux. Au contraire, l’appelant reconnaît lui-même une communication conflictuelle et une collaboration déficiente, alors qu’il s’agit en réalité des prémisses essentielles pour pouvoir envisager une garde alternée. Faute de motivation suffisante, le grief est irrecevable.</w:t>
      </w:r>
    </w:p>
    <w:p>
      <w:r>
        <w:rPr>
          <w:b/>
        </w:rPr>
        <w:t>E. 4.1</w:t>
      </w:r>
    </w:p>
    <w:p>
      <w:r>
        <w:t>Dans deux moyens subséquents, l’appelant invoque, d’une part, une baisse importante de ses revenus, soutenant qu’elle aurait été unilatéralement décrétée par son employeur et, d’autre part, une hausse de revenus de l’intimée. Il critique de surcroît le fait que le jugement entrepris ait retenu que les charges de celle-ci aient crû.</w:t>
      </w:r>
    </w:p>
    <w:p>
      <w:r>
        <w:rPr>
          <w:b/>
        </w:rPr>
        <w:t>E. 4.2.1</w:t>
      </w:r>
    </w:p>
    <w:p>
      <w:r>
        <w:t>Selon l’art. 176 al. 1 ch. 1 CC, applicable aux mesures provisionnelles par renvoi de l’art. 276 al. 1 CPC, à la requête d’un époux et si la suspension de la vie commune est fondée, le juge fixe les contributions d’entretien à verser respectivement aux enfants et à l’époux. 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 TF 5A_49/2023 du 21 novembre 2023 consid. 4.3.1).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147 III 308 consid. 6 ; ATF 143 III 233 consid. 3.2 ; ATF 137 III 102 consid. 4.2.2.2 ; ATF 128 III 4 consid. 4c/bb).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5A_489/2022 du 18 janvier 2023 consid. 5.2.2 ; TF 5A_332/2021 du 5 juillet 2022 consid. 3.1 ; TF 5A_944/2021 du 19 mai 2022 consid. 4.1).</w:t>
      </w:r>
    </w:p>
    <w:p>
      <w:r>
        <w:rPr>
          <w:b/>
        </w:rPr>
        <w:t>E. 4.2.2</w:t>
      </w:r>
    </w:p>
    <w:p>
      <w:r>
        <w:t>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JdT 2022 II 143 ; ATF 144 III 481 consid. 4.7.6, JdT 2019 II 179 ; TF 5A_252/2023 du 27 septembre 2023 consid. 4.2). Un revenu hypothétique peut par conséquent être imputé pour la part de la capacité de travail qui n’est pas exploitée (Juge unique CACI du 16 septembre 2025/408 consid. 2.1.3 ; Stoudmann, Le divorce en pratique, 3 e éd., Lausanne 2025, p. 118).</w:t>
      </w:r>
    </w:p>
    <w:p>
      <w:r>
        <w:rPr>
          <w:b/>
        </w:rPr>
        <w:t>E. 4.3.1</w:t>
      </w:r>
    </w:p>
    <w:p>
      <w:r>
        <w:t>Il y a tout d’abord lieu de relever que l’appelant se contredit dans son acte d’appel puisqu’il expose lui-même avoir diminué son temps de travail de 10 %, pour « passer du temps de qualité avec son fils et être pleinement disponible » le mercredi après-midi (cf. appel, p. 5, paragraphe 7). Pour le surplus, il ressort du jugement entrepris que les revenus de l’appelant ont été modifiés « à sa demande en raison de la baisse de son taux d’activité », la première juge ayant considéré que ladite baisse ne se justifiait pas en l’état. Or, l’appelant n’attaque aucunement ce raisonnement en soulevant un grief de constatation inexacte des faits ni ne démontre que le jugement attaqué serait entaché d’erreur, si bien que son grief est irrecevable faute de motivation suffisante. Quoi qu’il en soit, l’appelant échoue à la preuve d’une diminution involontaire de ses revenus et il appert au contraire qu’il ne s’efforce pas d’épuiser sa capacité contributive en faveur de son enfant, alors que la situation familiale est serrée. Ainsi, même à le considérer recevable, le grief ne pourrait qu’être écarté.</w:t>
      </w:r>
    </w:p>
    <w:p>
      <w:r>
        <w:rPr>
          <w:b/>
        </w:rPr>
        <w:t>E. 4.3.2</w:t>
      </w:r>
    </w:p>
    <w:p>
      <w:r>
        <w:t>S’agissant ensuite des revenus de l’intimée, l’appelant plaide l’imputation d’un revenu hypothétique à hauteur de 3'200 fr. par mois. Avant toute chose, il y a lieu de rappeler que l’enfant C.Z.________ est âgé de neuf ans et demi et fréquente le degré primaire, si bien qu’on ne peut exiger de l’intimée qu’elle exerce une activité lucrative à un taux supérieur à 50 %. Cela étant, il faut constater que le grief de l’appelant est lapidaire. En effet, il ne se réfère aucunement à quelque emploi que ce soit, n’allègue aucune possibilité effective de l’intimée d’augmenter sa capacité contributive ni ne fait état d’aucune statistique. Au surplus, il n’a requis aucune mesure d’instruction à ce titre en première instance. Compte tenu des exigences minimales de motivation de l’appel, ce grief est irrecevable.</w:t>
      </w:r>
    </w:p>
    <w:p>
      <w:r>
        <w:rPr>
          <w:b/>
        </w:rPr>
        <w:t>E. 4.3.3</w:t>
      </w:r>
    </w:p>
    <w:p>
      <w:r>
        <w:t>En ce qui concerne l’augmentation des charges de l’intimée, l’appelant invoque une « invention » de la première juge reposant sur une « pure spéculation ». S’il faut admettre que cette augmentation des charges est supputée, il n’en demeure pas moins que l’appelant ne tente pas de démontrer en quoi une telle hausse serait invraisemblable, ni n’a formé de réquisition à cet égard en première instance. Le raisonnement de la première juge ne prête en réalité pas le flanc à la critique eu égard aux conditions de la modification posées par l’art. 179 CC. En effet, il est raisonnablement admissible de considérer que l’augmentation des revenus de l’intimée ne représente pas une modification notable de sa situation financière, l’appelant ne rendant pas le contraire vraisemblable. En effet, quand bien même les revenus et les charges de l’intimée auraient augmenté, il n’empêche qu’elle n’est pas en mesure de couvrir son manco , ce que l’appelant ne tente pas d’infirmer. Pour peu qu’il soit considéré comme recevable, le grief est rejeté.</w:t>
      </w:r>
    </w:p>
    <w:p>
      <w:r>
        <w:rPr>
          <w:b/>
        </w:rPr>
        <w:t>E. 5.1</w:t>
      </w:r>
    </w:p>
    <w:p>
      <w:r>
        <w:t>Dans un quatrième grief, l’appelant requiert que l’enfant C.Z.________ soit domicilié auprès de lui, considérant être le parent le plus apte à prendre en charge son suivi administratif, scolaire et médical. Il soutient également que ses coûts directs auraient diminué.</w:t>
      </w:r>
    </w:p>
    <w:p>
      <w:r>
        <w:rPr>
          <w:b/>
        </w:rPr>
        <w:t>E. 5.2</w:t>
      </w:r>
    </w:p>
    <w:p>
      <w:r>
        <w:t>Selon l'art. 25 al. 1 CC (Code civil suisse du 10 décembre 1907 ; RS 210), l'enfant sous autorité parentale partage le domicile de ses père et mère ou, en l'absence de domicile commun des père et mère, le domicile de celui de ses parents qui détient la garde ; subsidiairement, le domicile de l’enfant se situe au lieu de sa résidence lorsque des parents, tous deux titulaires de l’autorité parentale, ont des domiciles distincts, sans que ni l’un, ni l’autre, n’ait été privé de la garde. La résidence de l’enfant se trouve au lieu avec lequel il a les liens les plus étroits, soit généralement au domicile du parent auprès duquel il vit le plus régulièrement et qui le prend en charge (Meier/Stettler, Droit de la filiation, 6 e éd., 2019, n. 1093 ; Juge unique CACI 18 avril 2019/217 consid. 3.2.2). Dans un litige relatif aux allocations familiales, le Tribunal fédéral a considéré que le lieu de scolarisation de l’enfant était déterminant pour fixer son domicile (ATF 144 V 299 consid. 5.3.3.4).</w:t>
      </w:r>
    </w:p>
    <w:p>
      <w:r>
        <w:rPr>
          <w:b/>
        </w:rPr>
        <w:t>E. 5.3</w:t>
      </w:r>
    </w:p>
    <w:p>
      <w:r>
        <w:t>En l’espèce, l’appelant n’étaye pas son assertion selon laquelle il serait plus adéquat que l’intimée – qui exerce la garde de fait – pour se charger du suivi scolaire, administratif et médical de son fils. Il en va de même pour l’argument relatif aux coûts directs de l’enfant C.Z.________ qu’il mentionne de manière lapidaire, sans même tenter de le rendre vraisemblable et sans que l’on comprenne ce qu’il faudrait en retirer. Faute de motivation suffisante, ces griefs sont irrecevables.</w:t>
      </w:r>
    </w:p>
    <w:p>
      <w:r>
        <w:rPr>
          <w:b/>
        </w:rPr>
        <w:t>E. 6.1</w:t>
      </w:r>
    </w:p>
    <w:p>
      <w:r>
        <w:t>Dans un dernier grief, l’appelant estime que la première juge devait faire application de l’art. 125 al. 3 ch. 3 CC compte tenu du jugement rendu le 14 mai 2025 par le Tribunal de police de l’arrondissement de la Broye et du Nord vaudois à l’encontre de l’intimée.</w:t>
      </w:r>
    </w:p>
    <w:p>
      <w:r>
        <w:rPr>
          <w:b/>
        </w:rPr>
        <w:t>E. 6.2</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l'un de ses proches (ch. 3). La jurisprudence a précisé que l'utilisation des termes « gravement violé » au chiffre 1, « délibérément » au chiffre 2 et « infraction pénale grave » au chiffre 3 parle en faveur d'une application restreinte des motifs de réduction ou de suppression de la rente, même si les motifs ne sont pas énumérés d'une manière exhaustive dans cet alinéa. La faculté énoncée à l'art. 125 al. 3 CC est placée dans la perspective de l'abus de droit, avec cette conséquence que la réclamation d'une contribution d'entretien dont le montant ne serait pas réduit doit apparaître comme choquant ( venire contra factum proprium ) ou manifestement inéquitable ; c'est pourquoi l'obligation de payer une rente ne doit être réduite ou même supprimée qu'avec une grande retenue, l'un des buts prépondérants de la révision du droit du divorce étant de réduire aussi fortement que possible l'importance de la faute des époux dans la détermination du droit à une contribution d'entretien (ATF 127 III 65 consid. 2a, JdT 2001 l 225). Un comportement qui n'est pas expressément visé par les chiffres 1 à 3 de l'art. 125 al. 3 CC ne peut entrer en considération comme motif de réduction ou de suppression de la rente que s'il revêt une gravité ou une intensité comparable aux circonstances énumérées par ces dispositions (ATF 127 III 65 consid. 2b ; TF 5C.232/2004 du 10 février 2005 consid. 2.3 ; Stoudmann, op. cit ., p. 442 ss ; CACI 30 juin 2025/281 consid. 3.1).</w:t>
      </w:r>
    </w:p>
    <w:p>
      <w:r>
        <w:rPr>
          <w:b/>
        </w:rPr>
        <w:t>E. 6.3</w:t>
      </w:r>
    </w:p>
    <w:p>
      <w:r>
        <w:t>Une fois encore, l’appelant se contente de soulever ce grief sans le développer conformément aux exigences de motivation. Cet argument est au surplus prématuré puisque l’appelant relève lui-même que la condamnation de l’intimée n’est pas définitive compte tenu du dépôt d’un appel auprès de la Cour d’appel pénale du Tribunal cantonal. Au surplus, l’infraction commise par l’intimée n’atteint a priori pas un degré de gravité tel que le principe même de l’allocation d’une contribution d’entretien apparaisse manifestement inéquitable et justifie, à ce stade, l’application pleine et entière de la clause de rigueur prévue à l’art. 125 al. 3 ch. 3 CC. Partant, le grief s’avère mal fondé, dans la mesure où il est recevable.</w:t>
      </w:r>
    </w:p>
    <w:p>
      <w:r>
        <w:rPr>
          <w:b/>
        </w:rPr>
        <w:t>E. 7.1</w:t>
      </w:r>
    </w:p>
    <w:p>
      <w:r>
        <w:t>Au vu de ce qui précède, l’appel, manifestement infondé, doit être rejeté dans la mesure où il est recevable, en application de l’art. 312 al. 1 in fine CPC et l’ordonnance entreprise confirmée.</w:t>
      </w:r>
    </w:p>
    <w:p>
      <w:r>
        <w:rPr>
          <w:b/>
        </w:rPr>
        <w:t>E. 7.2</w:t>
      </w:r>
    </w:p>
    <w:p>
      <w:r>
        <w:t>Les frais judiciaires de deuxième instance, arrêtés à 1’200 fr. (art. 65 al. 4 TFJC [tarif des frais judiciaires civils du 28 septembre 2010 ; BLV 270.11.5]), seront mis à la charge de l’appelant, qui succombe (art. 106 al. 1 CPC).</w:t>
      </w:r>
    </w:p>
    <w:p>
      <w:r>
        <w:rPr>
          <w:b/>
        </w:rPr>
        <w:t>E. 7.3</w:t>
      </w:r>
    </w:p>
    <w:p>
      <w:r>
        <w:t>Il n’y a pas lieu à l’allocation de dépens de deuxième instance, l’intimée n’ayant pas été invitée à se déterminer sur l’appel. Par ces motifs, la Juge unique de la Cour d’appel civile prononce : I. L’appel est rejeté dans la mesure de sa recevabilité. II. L’ordonnance est confirmée. III. Les frais judiciaires de deuxième instance, arrêtés à 1'200 fr., sont mis à la charge de l’appelant A.Z.________. IV. L’arrêt est exécutoire. La juge unique :               La greffière : Du Le présent arrêt, dont la rédaction a été approuvée à huis clos, est notifié en expédition complète à : ‑ Me Franck-Olivier Karlen (pour A.Z.________), ‑ Me Liza Sant’Ana Lima (pour B.Z.________),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