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877 vom 9. Oktober 2025</w:t>
      </w:r>
    </w:p>
    <w:p>
      <w:r>
        <w:t>VD Tribunal cantonal, 2025-10-09, FR</w:t>
      </w:r>
    </w:p>
    <w:p>
      <w:r>
        <w:rPr>
          <w:b/>
        </w:rPr>
        <w:t xml:space="preserve">Quelle: </w:t>
      </w:r>
      <w:r>
        <w:t>https://mcp.opencaselaw.ch/entscheid/vd_findinfo_HC___2025___877</w:t>
      </w:r>
    </w:p>
    <w:p>
      <w:r>
        <w:t>FR: VD_FINDINFO HC / 2025 / 877 du 9 octobre 2025</w:t>
      </w:r>
    </w:p>
    <w:p>
      <w:r>
        <w:t>IT: VD_FINDINFO HC / 2025 / 877 del 9 ottobre 2025</w:t>
      </w:r>
    </w:p>
    <w:p>
      <w:pPr>
        <w:pStyle w:val="Heading2"/>
      </w:pPr>
      <w:r>
        <w:t>Regeste</w:t>
      </w:r>
    </w:p>
    <w:p>
      <w:r>
        <w:t>DROIT D'ÊTRE ENTENDU, MOTIVATION DE LA DÉCISION, ADMISSION DE LA DEMANDE | 29 al. 2 Cst.</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L’art. 184 al.</w:t>
      </w:r>
    </w:p>
    <w:p>
      <w:r>
        <w:rPr>
          <w:b/>
        </w:rPr>
        <w:t>E. 1.2</w:t>
      </w:r>
    </w:p>
    <w:p>
      <w:r>
        <w:t>Formé en temps utile auprès de l’autorité compétente par une partie qui dispose d’un intérêt digne de protection (art. 59 al. 2 let. a CPC) – la rémunération de l’expert faisant partie des frais d’administration des preuves au sens de l’art. 95 al. 2 let. c CPC (CCUR 27 juin 2022/108), lesquels seront potentiellement supportés par la recourante (cf. art. 106 ss CPC) – et satisfaisant aux exigences de forme,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in Revue suisse de procédure civile [RSPC] 2021 p. 252). S’agissant des faits retenus par le premier juge, le pouvoir d’examen de l’autorité de recours est limité à l’arbitraire (ATF 138 III 232 consid. 4.1.2, JdT 2012 II 511 ; TF 5A_160/2022 du 27 juin 2022 consid. 2.1.2.2).</w:t>
      </w:r>
    </w:p>
    <w:p>
      <w:r>
        <w:rPr>
          <w:b/>
        </w:rPr>
        <w:t>E. 3</w:t>
      </w:r>
    </w:p>
    <w:p>
      <w:r>
        <w:t>CPC prévoit que la décision relative à la rémunération de l’expert judiciaire peut faire l’objet d’un recours. Celui-ci, écrit et motivé, doit être introduit dans un délai de dix jours (art. 321 al. 2 CPC) auprès de l’instance de recours, soit la Chambre des recours civile (art. 73 LOJV [loi d’organisation judiciaire du 12 décembre 1979 ; BLV 173.01]).</w:t>
      </w:r>
    </w:p>
    <w:p>
      <w:r>
        <w:rPr>
          <w:b/>
        </w:rPr>
        <w:t>E. 3.1</w:t>
      </w:r>
    </w:p>
    <w:p>
      <w:r>
        <w:t>La recourante soutient que le montant des honoraires de l’expert aurait été arrêté de façon arbitraire, en l’absence de toute détermination sur les remarques contenues dans son courrier du 28 novembre 2024.</w:t>
      </w:r>
    </w:p>
    <w:p>
      <w:r>
        <w:rPr>
          <w:b/>
        </w:rPr>
        <w:t>E. 3.2</w:t>
      </w:r>
    </w:p>
    <w:p>
      <w:r>
        <w:t>Le droit d’être entendu – lequel trouve, en procédure civile, son expression à l’art. 53 al. 1 CPC – est une garantie constitutionnelle (art. 29 al. 2 Cst.) de nature formelle, dont la violation entraîne l’annulation de la décision attaquée sans égard aux chances de succès du recours sur le fond (ATF 144 I 11 consid. 5.3 ; ATF 143 IV 380 consid. 1.4.1). La jurisprudence a déduit du droit d’être entendu le devoir pour l’autorité de motiver ses décisions, afin que le justiciable puisse les comprendre et exercer son droit de recours à bon escient (ATF 145 IV 407 consid. 3.4.1 ; ATF 143 III 65 consid. 5.2). Il suffit que le juge mentionne, au moins brièvement, les motifs qui l’ont guidé et sur lesquels il a fondé sa décision, afin que son destinataire puisse se rendre compte de la portée de celle-ci et l’attaquer en connaissance de cause (ATF 150 III 1 consid. 4.5, JdT 2024 II 176 ; ATF 146 II 335 consid. 5.1 ; ATF 145 III 324 consid. 6.1 ; TF 5A_570/2025 du 2 septembre 2025 consid. 5). L’autorité n’a pas l’obligation d’exposer et de discuter tous les faits, moyens de preuve et griefs invoqués par les parties, mais peut au contraire se limiter à ceux qui, sans arbitraire, lui paraissent pertinents (ATF 143 III 65 consid. 5.2 ; ATF 142 II 154 consid. 4.2 ; TF 5A_320/2022 du 30 janvier 2023 consid. 6.2).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150 IV 10 consid. 5.6 ; ATF 141 V 557 consid. 3.2.1 ; TF 5A_942/2022 du 24 septembre 2024 consid. 4.1). Doit être annulée pour violation du droit d’être entendu la décision qui omet de donner la moindre motivation, même brève et sommaire, concernant les raisons ayant incité le juge à écarter les objections de la partie sur le montant de la note de l’expert (CREC 28 mai 2021/159 consid. 3.2.2.2 in fine et les arrêts cantonaux cités).</w:t>
      </w:r>
    </w:p>
    <w:p>
      <w:r>
        <w:rPr>
          <w:b/>
        </w:rPr>
        <w:t>E. 3.3</w:t>
      </w:r>
    </w:p>
    <w:p>
      <w:r>
        <w:t>En l’espèce, le juge de paix a fixé les honoraires litigieux en réduisant d’un quart le montant réclamé par l’expert. Pour toute motivation, le juge de paix a retenu que l’expert n’avait « pas répondu entièrement aux questions posées ». Le prononcé entrepris est ainsi dénué de toute motivation concernant les raisons ayant incité le juge de paix à écarter – à tout le moins partiellement – les objections formulées le 28 novembre 2024 par la recourante, selon qui la rémunération réclamée par l’expert devrait être réduite de trois quarts – censés correspondre à la part superflue du travail effectué. La motivation du prononcé est ainsi clairement insuffisante, la recourante n’étant pas en mesure de l’attaquer efficacement, faute pour celui-ci de rendre compte de la prise de position du juge de paix en lien avec les critiques précitées. Il s’ensuit que le droit d'être entendu de la recourante a été violé, pour défaut de motivation de la décision ; il appartenait en effet au juge de paix de répondre – même sommairement – à la critique circonstanciée de la recourante s’agissant du travail de l’expert. Partant, il y a lieu d’annuler le prononcé et de renvoyer la cause au juge de paix pour qu’il rende une nouvelle décision, dûment motivée. Le juge de paix veillera en particulier à répondre à l’argumentation développée par la recourante dans ses déterminations du 28 novembre 2024.</w:t>
      </w:r>
    </w:p>
    <w:p>
      <w:r>
        <w:rPr>
          <w:b/>
        </w:rPr>
        <w:t>E. 4</w:t>
      </w:r>
    </w:p>
    <w:p>
      <w:r>
        <w:t>Au vu de ce qui précède, le recours doit être admis, le prononcé annulé et la cause renvoyée à l’autorité précédente pour nouvelle décision dans le sens des considérants. Ce renvoi étant dicté par une violation du droit d’être entendu, il ne se justifie pas d’inviter l’expert et la partie adverse à présenter des déterminations, la cause n’étant pas préjugée (TF 6B_852/2022 du 26 avril 2023 consid. 6 ; TF 5A_910/2016 du 1 er septembre 2017 consid. 4). Le présent arrêt est rendu sans frais judiciaires de deuxième instance (art. 11 TFJC [tarif des frais judiciaires civils du 28 septembre 2010 ; BLV 270.11.5]). Au vu de l’issue du recours et compte tenu du fait que ni l’expert ni la partie adverse n’ont été invités à se déterminer, la recourante, qui a agi avec le concours d’un agent d’affaires breveté, a droit à des dépens de deuxième instance, qui seront mis à la charge de l’Etat et qui peuvent être arrêtés à 200 fr. (art. 107 al. 2 CPC et 13 TDC [tarif des dépens en matière civile du 23 novembre 2010 ; BLV 270.11.6] ; ATF 142 III 110 consid. 3.2 ; CREC 18 septembre 2025/210 consid. 4). Par ces motifs, la Chambre des recours civile du Tribunal cantonal, prononce : I. Le recours est admis. II. Le prononcé est annulé et la cause renvoyée au Juge de paix du district de Lausanne pour qu’il procède dans le sens des considérants du présent arrêt. III. Il n’est pas perçu de frais judiciaires de deuxième instance. IV. L’Etat de Vaud doit verser 200 fr. (deux cents francs) à la recourante R.________, à titre de dépens de deuxième instance. V. L’arrêt est exécutoire. La présidente : La greffière : Du L'arrêt qui précède, dont la rédaction a été approuvée à huis clos, est notifié à : ‑ M. Julien Greub, aab (pour R.________), ‑ Me Julien Fivaz (pour T.________), - A.________, expert judiciaire. La Chambre des recours civile considère que la valeur litigieuse est inférieure à 30'000 francs. Le présent arrêt peut faire l’objet d’un recours en matière civile devant le Tribunal fédéral au sens des art. 72 ss LTF (loi sur le Tribunal fédéral du 17 juin 2005–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