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805 vom 15. Oktober 2025</w:t>
      </w:r>
    </w:p>
    <w:p>
      <w:r>
        <w:t>VD Tribunal cantonal, 2025-10-15, FR</w:t>
      </w:r>
    </w:p>
    <w:p>
      <w:r>
        <w:rPr>
          <w:b/>
        </w:rPr>
        <w:t xml:space="preserve">Quelle: </w:t>
      </w:r>
      <w:r>
        <w:t>https://mcp.opencaselaw.ch/entscheid/vd_findinfo_HC___2025___805</w:t>
      </w:r>
    </w:p>
    <w:p>
      <w:r>
        <w:t>FR: VD_FINDINFO HC / 2025 / 805 du 15 octobre 2025</w:t>
      </w:r>
    </w:p>
    <w:p>
      <w:r>
        <w:t>IT: VD_FINDINFO HC / 2025 / 805 del 15 ottobre 2025</w:t>
      </w:r>
    </w:p>
    <w:p>
      <w:pPr>
        <w:pStyle w:val="Heading2"/>
      </w:pPr>
      <w:r>
        <w:t>Regeste</w:t>
      </w:r>
    </w:p>
    <w:p>
      <w:r>
        <w:t>DROIT D'ÊTRE ENTENDU, DROIT D'OBTENIR UNE DÉCISION, RETARD INJUSTIFIÉ, MESURE PROVISIONNELLE | 29 al. 1 Cst., 265 al. 2 CPC (CH), 319 let. c CPC (CH)</w:t>
      </w:r>
    </w:p>
    <w:p>
      <w:pPr>
        <w:pStyle w:val="Heading2"/>
      </w:pPr>
      <w:r>
        <w:t>Erwägungen</w:t>
      </w:r>
    </w:p>
    <w:p>
      <w:r>
        <w:rPr>
          <w:b/>
        </w:rPr>
        <w:t>E. 1</w:t>
      </w:r>
    </w:p>
    <w:p>
      <w:r>
        <w:t>LOJV [loi d'organisation judiciaire du 12 décembre 1979 ; BLV 173.01]).</w:t>
      </w:r>
    </w:p>
    <w:p>
      <w:r>
        <w:rPr>
          <w:b/>
        </w:rPr>
        <w:t>E. 1.1</w:t>
      </w:r>
    </w:p>
    <w:p>
      <w:r>
        <w:t>Aux termes de l’art. 319 let. c CPC (Code de procédure civile du 19 décembre 2008 ; RS 272), le recours est recevable contre le retard injustifié du tribunal. Ce recours peut être formé en tout temps (art. 321 al. 4 CPC) et il est de la compétence de la Chambre des recours civile du Tribunal cantonal (art. 73 al.</w:t>
      </w:r>
    </w:p>
    <w:p>
      <w:r>
        <w:rPr>
          <w:b/>
        </w:rPr>
        <w:t>E. 1.2</w:t>
      </w:r>
    </w:p>
    <w:p>
      <w:r>
        <w:t>En l'espèce, le recours pour retard injustifié a été déposé auprès de l’autorité compétente et par une partie dans un procès dont elle considère que le déroulement prend trop de temps et qui peut ainsi se prévaloir d'un intérêt à recourir (art. 59 al. 2 let. a CPC).</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w:t>
      </w:r>
    </w:p>
    <w:p>
      <w:r>
        <w:rPr>
          <w:b/>
        </w:rPr>
        <w:t>E. 3.1.1</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486 consid. 3.2 ; ATF 144 I 318 consid. 7.1 ; TF 5D_13/2021 du 26 août 2021 consid. 4.3.1 ; CREC 15 février 2024/41).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(ATF 137 I 23 consid. 2.4.3 ; ATF 127 III 385 consid. 3a ; TF 5A_915/2016 du 12 avril 2017 consid. 5 ; CREC 27 août 2024/204 ; CREC 15 février 2024/41). L'autorité ne peut invoquer une organisation déficiente ou une surcharge structurelle pour justifier la lenteur de la procédure (ATF 144 II 486 consid. 3.2 ; ATF 135 I 265 consid. 4.4 ; TF 5A_282/2023 du 17 mai 2023 consid. 3.1). Il appartient en effet à l'Etat d'organiser ses juridictions de manière à garantir aux citoyens une administration de la justice conforme aux règles (TF 5A_670/2016 du 13 février 2017 consid. 3.1). L'autorité ne saurait ainsi exciper de la surcharge de travail, du nombre insuffisant de juges ou d'employés ainsi que du manque de moyens techniques. On ne peut toutefois lui reprocher quelques temps morts qui sont inévitables dans une procédure (ATF 130 I 312 consid. 5.2 ; TF 5A_670/2016 précité consid. 3.1). De manière générale, il importe peu que le retard soit imputable à un comportement fautif de l'autorité ou à d'autres circonstances : est exclusivement décisif le fait que l'autorité n'a pas agi en temps utile (ATF 144 II 486 consid. 3.2 ; TF 5A_282/2023 précité consid. 3.1 ; TF 4A_321/2018 du 25 juillet 2018 consid. 1 ; CREC 15 février 2024/41 ; CREC 10 octobre 2019/274).</w:t>
      </w:r>
    </w:p>
    <w:p>
      <w:r>
        <w:rPr>
          <w:b/>
        </w:rPr>
        <w:t>E. 3.1.2</w:t>
      </w:r>
    </w:p>
    <w:p>
      <w:r>
        <w:t>Lorsque le juge prononce des mesures superprovisionnelles, il doit ensuite rapidement entendre la partie adverse et statuer « sans délai » sur la requête de mesures provisionnelles proprement dite (art. 265 al. 2 CPC ; TF 4D_10/2022 du 15 mars 2022 consid. 3.5). Le CPC ne prévoit ni appel ni recours contre les ordonnances de mesures superprovisionnelles (art. 265 al. 1 CPC ; ATF 137 III 417 consid. 1.3 et réf. cit. ; Tappy, in : Commentaire romand, Code de procédure civile, 2 e éd., Bâle 2019, n. 16 ad art. 273 CPC) dès lors que la procédure prévue à l'art. 265 al. 2 CPC garantit un réexamen rapide de la décision et constitue ainsi la voie de droit contre cette décision, le Tribunal fédéral ayant précisé que l'obtention d'une décision de mesures provisionnelles était en principe plus rapide que le déroulement d'une procédure de deuxième instance (ATF 137 III 417 consid. 1.2 et réf. cit.). Concernant la fixation d'une audience de mesures provisionnelles, la Chambre de céans a notamment jugé que l'écoulement de huit semaines entre l'octroi de mesures superprovisionnelles et la tenue d'une telle audience était excessif (CREC 10 octobre 2019/274 et réf. cit. ; dans le même sens : TC FR 101 2023 194 du 29 juin 2023 consid. 2.2), puisque la loi prévoit que le juge doit statuer « sans délai ». Dans une autre affaire, la Chambre de céans a par ailleurs jugé qu’on devait attendre du premier juge qu'il rende une ordonnance de mesures provisionnelles dans les huit semaines qui suivent la tenue de l'audience (CREC 12 décembre 2013/429). Toutefois, ces délais ne constituent pas une limite absolue, les circonstances de l'espèce étant décisives (CREC 10 octobre 2019/274).</w:t>
      </w:r>
    </w:p>
    <w:p>
      <w:r>
        <w:rPr>
          <w:b/>
        </w:rPr>
        <w:t>E. 3.2</w:t>
      </w:r>
    </w:p>
    <w:p>
      <w:r>
        <w:t>En l’espèce, l’audience de mesures provisionnelles en cause a été fixée plus de huit semaines après la communication aux parties des décisions de mesures superprovisionnelles et l’autorité ne peut pas – on le sait – arguer à cet égard de sa surcharge, ce que fait précisément ici la première juge. Toutefois, compte tenu de la configuration du cas – en particulier du temps écoulé, inhérent à la procédure, et du fait que in fine la prochaine audience (qui a été avancée dans le temps à la suite de la requête adressée par la recourante à la première juge avant de saisir l’autorité de recours) se tiendra dans moins d’un mois –, il n’y a pas lieu d’admettre le recours pour déni de justice. Ce résultat se justifie à plus forte raison au regard de la thématique litigieuse : il s’agit, d’une part, d’une question d’attribution de la jouissance exclusive d’un appartement situé à Paris – jouissance attribuée par décision de mesures superprovisionnelles du 11 juillet 2025 à l’intimé, alors qu’elle était détenue en commun par les parties depuis 2016 – et, d’autre part, de l’octroi d’une provisio ad litem . De plus, la recourante ne démontre pas (art. 321 al. 1 ab initio CPC) l’urgence de l’affaire qui imposerait, compte tenu des intérêts en jeu, de fixer une audience avant le 7 novembre 2025, sa motivation se résumant à calculer huit semaines depuis les décisions de mesures superprovisionnelles et à soutenir que l’absence d’audience durant ce laps de temps constituerait un déni de justice. Or, ce délai, rappelons-le, n’est pas une limite absolue, la question liée à l’examen de la durée admissible entre l’octroi des mesures superprovisionnelles et la tenue de l’audience de mesures provisionnelles, et donc au déni de justice, devant tenir compte des circonstances d’espèce appréciées au cas par cas par le magistrat. Au vu des considérations qui précèdent, la recourante échoue à établir une violation de l’art. 29 al. 1 Cst. On relèvera toutefois que compte tenu du temps déjà écoulé depuis les décisions de mesures superprovisionnelles litigieuses, la décision sur mesures provisionnelles devra être rendue à bref délai après l’audience du 7 novembre 2025.</w:t>
      </w:r>
    </w:p>
    <w:p>
      <w:r>
        <w:rPr>
          <w:b/>
        </w:rPr>
        <w:t>E. 4</w:t>
      </w:r>
    </w:p>
    <w:p>
      <w:r>
        <w:t>En définitive, le recours doit être rejeté selon le mode procédural de l’art. 322 al. 1 CPC. Les frais judiciaires de deuxième instance, arrêtés à 500 fr. (cf. art. 73 TFJC [tarif des frais judiciaires civils du 28 septembre 2010 ; BLV 270.11.5]), seront mis intégralement à la charge de la recourante, qui succombe (cf. art. 106 al. 1 CPC). Par ces motifs, la Chambre des recours civile du Tribunal cantonal, en application de l'art. 322 al. 1 CPC, prononce : I. Le recours pour déni de justice est rejeté. II. Les frais judiciaires de deuxième instance, arrêtés à 500 fr. (cinq cents francs), sont mis à la charge de la recourante A.J.________. III. L’arrêt est exécutoire. La présidente :               Le greffier : Du L'arrêt qui précède, dont la rédaction a été approuvée à huis clos, est notifié à : ‑ Me Rachel Cavargna-Debluë (pour A.J.________), ‑ Me Pierre-Yves Court (pour B.J.________).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