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746 vom 2. September 2025</w:t>
      </w:r>
    </w:p>
    <w:p>
      <w:r>
        <w:t>VD Tribunal cantonal, 2025-09-02, FR</w:t>
      </w:r>
    </w:p>
    <w:p>
      <w:r>
        <w:rPr>
          <w:b/>
        </w:rPr>
        <w:t xml:space="preserve">Quelle: </w:t>
      </w:r>
      <w:r>
        <w:t>https://mcp.opencaselaw.ch/entscheid/vd_findinfo_HC___2025___746</w:t>
      </w:r>
    </w:p>
    <w:p>
      <w:r>
        <w:t>FR: VD_FINDINFO HC / 2025 / 746 du 2 septembre 2025</w:t>
      </w:r>
    </w:p>
    <w:p>
      <w:r>
        <w:t>IT: VD_FINDINFO HC / 2025 / 746 del 2 settembre 2025</w:t>
      </w:r>
    </w:p>
    <w:p>
      <w:pPr>
        <w:pStyle w:val="Heading2"/>
      </w:pPr>
      <w:r>
        <w:t>Regeste</w:t>
      </w:r>
    </w:p>
    <w:p>
      <w:r>
        <w:t>DÉPENS, POUVOIR DE REPRÉSENTATION, PROPRIÉTÉ PAR ÉTAGES, PRINCIPE DE LA BONNE FOI, REFUS D'ENTRER EN MATIÈRE SUR CERTAINS GRIEFS | 52 CPC (CH), 95 al. 3 CPC (CH)</w:t>
      </w:r>
    </w:p>
    <w:p>
      <w:pPr>
        <w:pStyle w:val="Heading2"/>
      </w:pPr>
      <w:r>
        <w:t>Erwägungen</w:t>
      </w:r>
    </w:p>
    <w:p>
      <w:r>
        <w:rPr>
          <w:b/>
        </w:rPr>
        <w:t>E. 1.1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 er avril 2025/76 ; Tappy, Commentaire romand, Code de procédure civile [ci-après : CR-CPC],</w:t>
      </w:r>
    </w:p>
    <w:p>
      <w:r>
        <w:rPr>
          <w:b/>
        </w:rPr>
        <w:t>E. 1.2</w:t>
      </w:r>
    </w:p>
    <w:p>
      <w:r>
        <w:t>En l’occurrence, le recourant a introduit son recours en deux parties distinctes, lesquelles ont toutes deux été déposées dans le délai de recours. Il ressort en effet du suivi des recommandés (n. [...]) que le recourant a retiré le pli contenant le prononcé litigieux au guichet de la poste en date du 5 juillet 2025, de sorte que le délai de recours est arrivé à échéance le 15 juillet 2025 (cf. art. 142 al. 1 et 2 CPC). Aussi, les deux actes des 12 et 14 juillet 2025 ont été déposés en temps utiles (cf. art. 143 al. 1 CPC) et doivent donc être pris en compte, étant relevé qu’en vertu de l’art. 143 al. 1bis CPC, l’envoi de l’acte du 12 juillet 2025 à la première juge – et non à la Chambre de céans – n’a aucune incidence sur le respect du délai de recours. Pour le reste, déposés par une partie disposant d’un intérêt digne de protection (art. 59 al. 2 let. a CPC), les actes de recours sont recevables.</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w:t>
      </w:r>
    </w:p>
    <w:p>
      <w:r>
        <w:rPr>
          <w:b/>
        </w:rPr>
        <w:t>E. 3.1</w:t>
      </w:r>
    </w:p>
    <w:p>
      <w:r>
        <w:t>En procédure de recours, les conclusions, les allégations de faits et les preuves nouvelles sont irrecevables (art. 326 al. 1 CPC).</w:t>
      </w:r>
    </w:p>
    <w:p>
      <w:r>
        <w:rPr>
          <w:b/>
        </w:rPr>
        <w:t>E. 3.2</w:t>
      </w:r>
    </w:p>
    <w:p>
      <w:r>
        <w:t>En l’occurrence, outre le prononcé querellé (pièce n. 6) – qui est une pièce de forme –, le recourant a produit cinq pièces à l’appui de son recours. On constate que les pièces nn. 1, 3 et</w:t>
      </w:r>
    </w:p>
    <w:p>
      <w:r>
        <w:rPr>
          <w:b/>
        </w:rPr>
        <w:t>E. 5</w:t>
      </w:r>
    </w:p>
    <w:p>
      <w:r>
        <w:t>En définitive, le recours, manifestement infondé, doit être rejeté, selon le mode procédural de l’art. 322 al. 1 CPC, et le prononcé confirmé. Les frais judiciaires de deuxième instance, arrêtés à 100 fr. (art. 69 al. 1 et 70 al. 3 TFJC [tarif des frais judiciaires civils du 28 septembre 2010 ; BLV 270.11.5]), doivent être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P.________. IV. L’arrêt est exécutoire. Le vice-président : La greffière : Du L'arrêt qui précède, dont la rédaction a été approuvée à huis clos, est notifié à : ‑ M. P.________, ‑ Me Guillaume Etier (pour la Communauté des copropriétaires d'étages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