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745 vom 17. September 2025</w:t>
      </w:r>
    </w:p>
    <w:p>
      <w:r>
        <w:t>VD Tribunal cantonal, 2025-09-17, FR</w:t>
      </w:r>
    </w:p>
    <w:p>
      <w:r>
        <w:rPr>
          <w:b/>
        </w:rPr>
        <w:t xml:space="preserve">Quelle: </w:t>
      </w:r>
      <w:r>
        <w:t>https://mcp.opencaselaw.ch/entscheid/vd_findinfo_HC___2025___745</w:t>
      </w:r>
    </w:p>
    <w:p>
      <w:r>
        <w:t>FR: VD_FINDINFO HC / 2025 / 745 du 17 septembre 2025</w:t>
      </w:r>
    </w:p>
    <w:p>
      <w:r>
        <w:t>IT: VD_FINDINFO HC / 2025 / 745 del 17 settembre 2025</w:t>
      </w:r>
    </w:p>
    <w:p>
      <w:pPr>
        <w:pStyle w:val="Heading2"/>
      </w:pPr>
      <w:r>
        <w:t>Regeste</w:t>
      </w:r>
    </w:p>
    <w:p>
      <w:r>
        <w:t>RÉCUSATION, AVANCE DE FRAIS, REJET DE LA DEMANDE | 103 CPC (CH), 98 CPC (CH), 51 TFJC (2010)</w:t>
      </w:r>
    </w:p>
    <w:p>
      <w:pPr>
        <w:pStyle w:val="Heading2"/>
      </w:pPr>
      <w:r>
        <w:t>Erwägungen</w:t>
      </w:r>
    </w:p>
    <w:p>
      <w:r>
        <w:rPr>
          <w:b/>
        </w:rPr>
        <w:t>E. 1.1</w:t>
      </w:r>
    </w:p>
    <w:p>
      <w:r>
        <w:t>Selon l’art. 103 CPC (Code de procédure civile suisse du 19 décembre 2008 ; RS 272), les décisions relatives aux avances de frais et aux sûretés peuvent faire l’objet d’un recours (art. 319 let. b ch. 1 CPC). Ces décisions étant des ordonnances d’instruction et obéissant à la procédure sommaire par analogie (TF 4A_226/2014 du 6 août 2014 consid. 2.1 ; CREC 30 septembre 2024/239 consid. 7.1), le délai de recours est de dix jours (art. 321 al. 2 CPC). Le recours doit être introduit auprès de l’instance de recours, soit la Chambre des recours civile (art. 73 al. 1 LOJV [loi d’organisation judiciaire du 12 décembre 1979 ; BLV 173.01]), étant relevé que les actes remis dans les délais mais adressés par erreur à un tribunal suisse incompétent – tel que cela est le cas en l’occurrence – sont réputés remis en temps utile (art. 143 al. 1bis, 1 re ph., CPC).</w:t>
      </w:r>
    </w:p>
    <w:p>
      <w:r>
        <w:rPr>
          <w:b/>
        </w:rPr>
        <w:t>E. 1.2</w:t>
      </w:r>
    </w:p>
    <w:p>
      <w:r>
        <w:t>Déposé en temps utile par des parties qui ont un intérêt digne de protection (art. 59 al. 2 let. a CPC), le recours, écrit et motivé (art. 321 al. 1 CPC),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5A_999/2022 du 20 février 2024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précité consid. 4.2.1 et 4.2.2 ; TF 5A_873/2021 du</w:t>
      </w:r>
    </w:p>
    <w:p>
      <w:r>
        <w:rPr>
          <w:b/>
        </w:rPr>
        <w:t>E. 4</w:t>
      </w:r>
    </w:p>
    <w:p>
      <w:r>
        <w:t>En définitive, le recours, manifestement infondé, doit être rejeté dans la mesure de sa recevabilité, en application de l’art. 322 al. 1 CPC, et les décisions confirmées. Les frais judiciaires de deuxième instance, arrêtés à 100 fr. (art. 69 al. 1 TFJC), seront mis à la charge des recourants qui succombent, solidairement entre eux (art. 106 al. 1 et 3 CPC). Aucune réponse n’ayant été requise, il n’y a pas lieu à l’allocation de dépens. Par ces motifs, la Chambre des recours civile du Tribunal cantonal, en application de l'art. 322 al. 1 CPC, prononce : I. Le recours est rejeté dans la mesure de sa recevabilité. II. Les décisions sont confirmées. III. Les frais judiciaires de deuxième instance, arrêtés à 100 fr. (cent francs), sont mis à la charge des recourants B.G.________ et A.G.________, solidairement entre eux. IV. L’arrêt est exécutoire. La présidente :               La greffière : Du L'arrêt qui précède, dont la rédaction a été approuvée à huis clos, est notifié à : ‑ M. B.G.________, ‑ Mme A.G.________.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