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723 vom 13. November 2025</w:t>
      </w:r>
    </w:p>
    <w:p>
      <w:r>
        <w:t>VD Tribunal cantonal, 2025-11-13, FR</w:t>
      </w:r>
    </w:p>
    <w:p>
      <w:r>
        <w:rPr>
          <w:b/>
        </w:rPr>
        <w:t xml:space="preserve">Quelle: </w:t>
      </w:r>
      <w:r>
        <w:t>https://mcp.opencaselaw.ch/entscheid/vd_findinfo_HC___2025___723</w:t>
      </w:r>
    </w:p>
    <w:p>
      <w:r>
        <w:t>FR: VD_FINDINFO HC / 2025 / 723 du 13 novembre 2025</w:t>
      </w:r>
    </w:p>
    <w:p>
      <w:r>
        <w:t>IT: VD_FINDINFO HC / 2025 / 723 del 13 novembre 2025</w:t>
      </w:r>
    </w:p>
    <w:p>
      <w:pPr>
        <w:pStyle w:val="Heading2"/>
      </w:pPr>
      <w:r>
        <w:t>Regeste</w:t>
      </w:r>
    </w:p>
    <w:p>
      <w:r>
        <w:t>CONTRAT D'ENTREPRISE, APPRÉCIATION DES PREUVES, INTERDICTION DE L'ARBITRAIRE, FARDEAU DE LA PREUVE, PRIX FERME, PRIX EFFECTIF, ABUS DE DROIT | 2 al. 2 CC, 8 CC, 373 CO, 374 CO, 9 Cst., 157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la Cour d’appel civile dans le canton de Vaud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de première instance portant sur des conclusions patrimoniales supérieures à 10'000 fr.,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5A_169/2024, 5A_171/2024 du 5 août 2025 consid. 8.1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5A_357/2024 du 26 août 2025 consid. 3.4.1.2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 TF 4A_439/2023 du 9 septembre 2024 consid. 4.1.1 ; TF 5A_647/2023 du 5 mars 2024 consid. 5.2).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 ; ATF 138 III 374, loc. cit . ; TF 4A_328/2024 du 25 juin 2025 consid. 3.1.2).</w:t>
      </w:r>
    </w:p>
    <w:p>
      <w:r>
        <w:rPr>
          <w:b/>
        </w:rPr>
        <w:t>E. 3.1</w:t>
      </w:r>
    </w:p>
    <w:p>
      <w:r>
        <w:t>L’appelante se plaint d’une appréciation des preuves et d’une constatation des faits arbitraires. Elle reproche aux premiers juges d’avoir retenu que les montants facturés par R.________ SA représentaient bien la valeur du travail effectué en se fondant sur la pièce 6 et en écartant les pièces 100 à 127. Elle relève que l’ensemble de factures produites par les parties émanent de R.________ SA et que les factures produites par ses soins sous pièces 100 à 127 portent des dates variées s’étendant du mois de novembre 2017 au mois d’août 2021, alors que les factures produites par l’intimée sous pièce 6 sont toutes datées du 4 et du 24 janvier 2020, du 1 er et du 4 février 2021 ou du 20 et du 24 mars 2021. Il serait ainsi douteux que l’intimée n’ait établi des factures – qui concernaient des travaux s’étant déroulés dans diverses périodes entre 2017 et 2021 – qu’en 2020 et 2021. Elle souligne encore que ni les factures produites sous pièce 6 ni celles produites sous pièce 100 à 127 ne comportent de signature, mais que ces dernières contiennent en annexes des quittances concernant notamment l’achat de matériel. Selon l’appelante, elle n’aurait pas pu produire ces quittances si elles ne lui avaient pas été adressées avec les factures produites sous pièce 100 à 127. Les diverses factures produites sous pièce 100 à 127 ont également en annexe un avis bancaire qui démontrait leur paiement à l’intimée en 2018 ou 2019, soit avant l’établissement des factures produites sous pièce 6. L’appelante n’aurait eu aucune raison de payer des montants à l’intimée avant la réception des factures produites sous pièce 6. En outre, l’appelante reproche aux premiers juges de ne pas avoir tenu compte de la pièce 131, dans laquelle elle s’est déterminée précisément sur chacune des factures produites sous pièce 6 en exposant l’époque des travaux, leur type et les paiements effectués. Enfin, l’appelante fait grief aux premiers juges ne pas s’être demandé si les factures produites sous pièce 6 avaient été établies par l’intimée dans un dessein d’enrichissement illégitime et pour les besoins d’une procédure future.</w:t>
      </w:r>
    </w:p>
    <w:p>
      <w:r>
        <w:rPr>
          <w:b/>
        </w:rPr>
        <w:t>E. 3.2</w:t>
      </w:r>
    </w:p>
    <w:p>
      <w:r>
        <w:t>En raison de son lien étroit avec la présente cause, le tribunal a retenu les déclarations de I.________, entendue comme témoin, dans la mesure où elles étaient corroborées par d’autres moyens de preuves. Or aucun élément ne permettait de retenir que les factures produites par l’appelante avaient été établies en collaboration et avec l’accord de L.________. Les premiers juges ont retenu que les factures adressées par R.________ SA – soit celles produites par l’intimée – décrivaient en détail les travaux exécutés, le temps consacré et le tarif horaire. Ces éléments n’avaient pas été contestés par l’appelante à réception des factures litigieuses, ce que I.________ avait confirmé. Par ailleurs, elle avait eu des propos contradictoires en déclarant que L.________ avait accepté le décompte final des travaux et établi postérieurement les factures litigieuses en 2020 mais qu’il ne s’était jamais plaint d’un non-paiement entre 2018 et 2021, alors qu’elle avait déclaré avoir annoté ces factures en indiquant les montants déjà payés. Le montant des factures produites par l’intimée représentait ainsi la valeur du travail et les dépenses de R.________ SA Il restait un solde de 38'117 fr. en faveur de l’intimée.</w:t>
      </w:r>
    </w:p>
    <w:p>
      <w:r>
        <w:rPr>
          <w:b/>
        </w:rPr>
        <w:t>E. 3.3</w:t>
      </w:r>
    </w:p>
    <w:p>
      <w:r>
        <w:t>A teneur de l’art. 8 CC (Code civil suisse du 10 décembre 1907 ; RS 210), chaque partie doit, si la loi ne prescrit le contraire, prouver les faits qu’elle allègue pour en déduire son droit. Cette disposition règle la répartition du fardeau de la preuve et détermine quelle partie doit assumer les conséquences de l’échec de la preuve. En revanche, la libre appréciation des preuves par le juge, consacrée à l’art. 157 CPC consiste, en tenant compte du degré de la preuve exigé, à soupeser le résultat des différents moyens de preuve administrés et à décider s’il est intimement convaincu que le fait s’est produit, et partant, s’il peut le retenir comme prouvé (TF 5A_194/2024 du 20 novembre 2024 consid. 6.1 ; TF 5A_812/2015 du 6 septembre 2016 consid. 5.2). Une personne n’est pas exclue du témoignage simplement parce qu’elle a éventuellement un intérêt personnel dans l’issue de la procédure. Le tribunal tient compte des déclarations d’une telle personne dans le cadre de la libre appréciation des preuves (TF 5A_185/2023 du 7 juin 2023 consid. 3.2.2 ; TF 4A_239/2019 du 27 août 2019 consid. 2.2.3 ; TF 4A_673/2016 du 3 juillet 2017 consid. 2.1.2 et réf. cit.). Selon l’art. 9 Cst. (Constitution fédérale du 18 avril 1999 ; RS 101), toute personne a le droit d’être traitée par les organes de l’État sans arbitraire et conformément aux règles de la bonne foi.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in fine ; ATF 143 IV 500 consid. 1.1 ; ATF 140 III 264 consid. 2.3 ; TF 4A_350/2025 du 6 octobre 2025 consid. 3.1 ; TF 5A_169/2024, 5A_171/2024 du 5 août 2025 consid. 2.2).</w:t>
      </w:r>
    </w:p>
    <w:p>
      <w:r>
        <w:rPr>
          <w:b/>
        </w:rPr>
        <w:t>E. 3.4</w:t>
      </w:r>
    </w:p>
    <w:p>
      <w:r>
        <w:t>Les parties ont effectivement produit des pièces distinctes, soit deux lots de factures, les deux à l’en-tête de R.________ SA, concernant les mêmes travaux, soit notamment : - les pièces 105 (facture n° 98 du 7 avril 2019) et 6/1 (facture n° 123/20 du 4 janvier 2020) pour les travaux effectués dans l’appartement [...], à [...] ; - les pièces 106 (facture n° 124 du 15 mars 2020) et 6/2 (facture n° 124/20 du 4 janvier 2020) pour les travaux effectués dans l’appartement [...], à [...] ; - les pièces 107 (quittance du 14 décembre 2019), 6/3 et 6/4 (facture n° 126/20 du 4 janvier 2020) pour les travaux effectués chez [...] au [...] étage et chez [...] au [...] étage, à [...], à [...] ; - Les pièces 108 (facture n° 185 du 5 aout 2021) et 6/5 (facture n° 127/20 du 4 janvier 2020) pour les travaux effectués chez [...], à la [...], [...] ; - Les pièces 109 (facture n° 96 du 9 avril 2019) et 6/6 (facture n° 128/20 du 4 janvier 2020) pour les travaux effectués chez [...], [...] ; - Les pièces 110 (facture n° 95 du 9 avril 2019) et 6/7 (facture n° 129/20 du 4 janvier 2020) pour les travaux effectués dans le local de [...], [...] ; - Les pièces 111 (facture n° 17.42 du 20 décembre 2017) et 6/8 (facture n° 130/20 du 4 janvier 2020) pour le changement de la cuisine chez [...], dans le studio [...], au [...] étage, à [...], à [...] ; - Les pièces 112 (facture n° 131 du 20 décembre 2019) et 6/9 (facture n° 131/20 du 4 janvier 2020) pour les travaux effectués chez [...], au [...] étage, à [...], à [...] ; - Les pièces 113 (factures n os 132a et 132b du 16 décembre 2019) et 6/10 (facture n° 132/20 du 4 janvier 2020), pour les travaux dans l’appartement [...], au [...], à [...], à [...] ; - Les pièces 114 (facture n° 133 du 15 décembre 2019) et 6/11 (facture n° 133/20 du 4 janvier 2020), pour les travaux dans l’appartement [...] au [...], à [...], à [...]; - Les pièces 115 (facture n° 134 du 16 décembre 2019) et 6/12 (facture n° 134/20 du 4 janvier 2020), pour les travaux dans l’appartement [...], au [...] étage, à [...], à [...]; - Les pièces 116 (factures n os 114 du 15 novembre 2019 et 175-2 du 1 er février 2021) et 6/13 (facture n° 135/20 du 4 janvier 2020), pour les travaux à [...], [...], [...] et [...]; - Les pièces 118 (facture n° 173 du 1 er février 2021) et 6/15 (facture n° 173/221 du 1 er février 2021), pour les travaux chez [...], au [...] étage, à la [...], [...] ; - Les pièces 119 (facture n° 174 du 1 er février 2021), 6/16 et 6/17 (factures n os 174/2021 et 175/2021 du 1 er février 2021) pour les travaux à la [...], [...] ; - Les pièces 120 (facture n° 176 du 1 er février 2021) et 6/18 (facture n° 176/2021 du 1 er février 2021), pour les travaux dans l’appartement [...], au [...] étage, à [...], à [...] ; - Les pièces 121 (factures n os 135 et 136 du 27 mars 2020) et 6/19 (facture n° 177/2021 du 1 er février 2021), pour divers travaux à [...], à [...] ; - Les pièces 122 (facture n° 192 du 15 juin 2021) et 6/20 (facture n° 181/21 du 4 février 2021), pour les travaux dans l’appartement [...], à [...] ; - Les pièces 123 (facture n° 182 du 9 août 2021) et 6/21 (facture n° 182/21 du 4 février 2021), pour les travaux au [...] étage, à la [...], [...] ; - Les pièces 124 (facture n° 185 du 5 août 2021) et 6/22 (facture n° 185/21 du 4 février 2021), pour les travaux chez [...], [...] ; - Les pièces 125 (facture n° 190 du 15 juin 2021) et 6/23 (facture n° 190/21 du 20 mars 2021), pour les travaux au [...] étage, à [...], à [...] ; - Les pièces 127 (facture n° 192 du 15 juin 2021) et 6/25 (facture n° 192/21 du 24 mars 2021), pour les travaux dans l’appartement [...], à [...]. Par ailleurs, les factures produites par l’intimée sous pièce 6 comportent des annotations manuscrites de la part de L.________ s’agissant des montants déjà reçus et des montants encore à payer. Pour sa part, I.________ a déclaré avoir annoté les factures correspondantes à celles produites sous pièce 6 lors de leur réception (cf. pièce 135).</w:t>
      </w:r>
    </w:p>
    <w:p>
      <w:r>
        <w:rPr>
          <w:b/>
        </w:rPr>
        <w:t>E. 3.5</w:t>
      </w:r>
    </w:p>
    <w:p>
      <w:r>
        <w:t>On relèvera tout d’abord que l’appelante ne conteste pas l’appréciation du témoignage de I.________ par les premiers juges et la réserve qui a été adoptée vis-à-vis de ses déclarations lorsqu’elles n’étaient pas confirmées par d’autres éléments de preuve, compte tenu de son implication dans le litige. Il s’agit ainsi d’apprécier la force probante des deux séries de factures produites par les parties, soit respectivement la pièce 6 et les pièces 100 à 127. Tout d’abord, I.________ a déclaré qu’elle gérait les travaux pour l’appelante. Elle a admis avoir établi les factures (soit les pièces 100 à 127), selon elle avec l’aide de L.________, car celui-ci mélangeait en particulier les numéros des appartements. Elle a exposé qu’il lui donnait le numéro de référence de la facture et qu’ils l’établissaient ensemble. Comme les premiers juges, il convient d’admettre qu’aucun autre élément de preuve ne permet de confirmer l’hypothèse selon laquelle L.________ participait à l’établissement des factures. L’appelante ne conteste pas cette appréciation et n’indique pas les éléments du dossier qui permettraient d’établir le contraire. Il faut ainsi retenir, comme le tribunal, que c’est I.________ qui a établi seule les factures produites sous pièces 100 à 127 et non – comme cela est usuel – l’entreprise R.________ SA qui a pourtant effectué les travaux. Cela limite fortement la valeur probante de ces factures. Les factures produites par l’intimée sont datées du 4 janvier 2020 (pièce 6/1-14), du 1 er février 2021 (pièce 6/15-19), du 4 février 2021 (pièce 6/20-22), du 20 mars 2021 (pièce 6/23 et 24) et du 24 mars 2021 (pièce 6/25). Les factures produites par l’appelante sont datées entre le 7 avril 2019 (pièce 105) et le 9 août 2021 (pièce 123). Par exemple, la facture n° 192/21 produite par l’intimée (pièce 6/25) qui concerne des travaux au numéro [...] à [...] est datée du 24 mars 2021, alors que la facture « correspondante » produite par l’appelante (pièce 127) date du 15 juin 2021. La facture produite par l’intimée est ainsi antérieure à celle produite par l’appelante. C’est également le cas des factures n° 185/21 du 4 février 2021 (comp. pièce 6/22 et 124) et n° 190/21 du 20 mars 2021 (comp. pièce 6/23 et pièce 125). Partant, cela vient infirmer les déclarations de I.________, selon lesquels les factures produites sous pièces 6 auraient été établies après « les décomptes » – soit les pièces 100 à 127 – prétendument établis avec L.________ et acceptés oralement. Partant, l’appelante échoue à démontrer une acceptation des factures produites sous pièces 105 à 127 par l’intimée. Certes, les factures adressées à l’appelante par R.________ SA (pièce 6) ne sont pas signées. Les factures établies par l’appelante ne le sont pas davantage. On ne peut donc tirer aucun argument de ce point. Quant à la question des quittances d’achat de matériel, leur présence en annexe des factures n’apporte pas la preuve de l’exactitude de ces dernières. Le fait que l’appelante soit en possession des quittances n’est pas non plus décisif. On relèvera que les factures établies par R.________ SA (pièce 6) décrivent en détail les travaux exécutés, les heures consacrées à l’ouvrage et le tarif horaire appliqué, ainsi que le montant des fournitures. Aucun de ces éléments n’a été contesté par l’appelante à réception des factures litigieuses, celles-ci n’ayant été en réalité contestées qu’après l’ouverture de la présente procédure, à tout le moins après l’apparition du litige entre les parties. Le tribunal a également relevé que I.________ se contredisait. Elle prétendait que L.________ avait accepté le décompte final pour les travaux, qu’il avait établi les factures litigieuses après cette acceptation et qu’il ne s’était jamais plaint de ne pas avoir été payé entièrement entre 2018 et 2021. Elle a admis avoir annoté les factures litigieuses produites par l’intimée (pièce 6) en mentionnant les montants qui avaient été payés et ceux qui ne l’avaient pas encore été (cf. pièce 135) et a indiqué en outre dans son courriel du 12 août 2021, qu’elle avait procédé au paiement de la facture n° 192 en date du 5 juillet 2021, ce qui démontre un désaccord entre les parties à cette date-là au plus tôt, l’appelante ne contestant pas cette appréciation. L’appelante reproche aux premiers juges de ne pas avoir tenu compte de la pièce 131 dans laquelle elle se serait déterminée précisément sur chacune des factures produites par l’intimée en exposant l’époque des travaux, leur type et les montants versés. Ce grief n’est pas motivé, faute pour l’appelante d’exposer précisément dans quelle mesure cette pièce devrait modifier l’appréciation des premiers juges sur la valeur probante des factures produites par les parties. Il en va de même de la critique de l’appelante quant au fait que les premiers juges ne se sont pas posé la question de savoir si les factures produites sous pièce 6 auraient été établies par l’intimée dans un dessein d’enrichissement illégitime et pour les besoins d’une future procédure. Elle peut être écartée, par défaut de motivation, l’appelante ne démontrant en rien un tel dessein et se contentant de l’affirmer. Par conséquent, il n’est pas valablement contesté que R.________ SA a établi les factures produites sous pièce 6. En définitive, comme les premiers juges, il convient d’admettre que les factures produites par l’intimée sous pièce 6 ont une plus grande force probante que celles produites par l’appelante sous pièces 100 à 127. Partant, ces factures prouvent l’étendue des travaux effectués et fondent les prétentions de l’intimée à l’encontre de l’appelante. Par conséquent, le grief doit être rejeté.</w:t>
      </w:r>
    </w:p>
    <w:p>
      <w:r>
        <w:rPr>
          <w:b/>
        </w:rPr>
        <w:t>E. 4.1</w:t>
      </w:r>
    </w:p>
    <w:p>
      <w:r>
        <w:t>L’appelante reproche aux premiers juges d’avoir retenu que la rémunération due pour les travaux devait être calculée sur la base des prestations effectivement réalisées et non à forfait.</w:t>
      </w:r>
    </w:p>
    <w:p>
      <w:r>
        <w:rPr>
          <w:b/>
        </w:rPr>
        <w:t>E. 4.2</w:t>
      </w:r>
    </w:p>
    <w:p>
      <w:r>
        <w:t>Les premiers juges ont constaté l’absence de contrat écrit entre R.________ SA ou L.________ et l’appelante s’agissant des travaux. Ils n’ont pas retenu le témoignage de I.________ selon lequel un accord oral avait été conclu entre les parties pour l’établissement de factures sur la base de forfaits ou de métrés, en raison du lien étroit de celle-ci avec le litige et du fait que ses dires n’étaient appuyés par aucun élément, hormis le courrier du 8 novembre 2021, rédigé par l’appelante quatre ans après la fin de certains travaux. Les factures produites par l’appelante n’avaient pas été établies en collaboration avec L.________. Par ailleurs, le témoin Q.________, qui avait participé aux chantiers, indiquait que L.________ avait tenu un décompte des heures durant les travaux. En définitive, le tribunal a considéré que l’appelante n’avait pas démontré l’existence d’un accord des parties sur une rémunération forfaitaire et qu’ainsi la rémunération devait être calculée sur la base des prestations effectivement réalisées.</w:t>
      </w:r>
    </w:p>
    <w:p>
      <w:r>
        <w:rPr>
          <w:b/>
        </w:rPr>
        <w:t>E. 4.3.1</w:t>
      </w:r>
    </w:p>
    <w:p>
      <w:r>
        <w:t>Selon l’art. 373 CO (Code des obligations du 30 mars 1911 ; RS 220), lorsque le prix a été fixé à forfait, l’entrepreneur est tenu d’exécuter l’ouvrage pour la somme fixée, et il ne peut réclamer aucune augmentation, même si l’ouvrage a exigé plus de travail ou de dépenses que ce qui avait été prévu (al. 1). Le maître est tenu de payer le prix intégral, même si l’ouvrage a exigé moins de travail que ce qui avait été prévu (al. 3). Si le prix n’a pas été fixé d’avance, ou s’il ne l’a été qu’approximativement, il doit être déterminé d’après la valeur du travail et les dépenses de l’entrepreneur (art. 374 CO). Les parties ont ainsi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 TF 4A_156/2018 du 24 avril 2019 consid. 4.1 et réf. cit. ; Tercier/Carron, Les contrats spéciaux, 6 e éd., Genève/Zurich 2025, nn. 4015 à 4017 et 4020). Le prix ferme fixe ainsi une limite tant minimale que maximale à la rémunération de l’entrepreneur (TF 4A_156/2018, loc. cit . ; TF 4A_458/2016 du 29 mars 2017 consid. 6.1 et réf. cit.).</w:t>
      </w:r>
    </w:p>
    <w:p>
      <w:r>
        <w:rPr>
          <w:b/>
        </w:rPr>
        <w:t>E. 4.3.2</w:t>
      </w:r>
    </w:p>
    <w:p>
      <w:r>
        <w:t>Conformément à l’art. 8 CC, la partie qui prétend à l’existence de prix fermes au sens de l’art. 373 CO – qu’il s’agisse de prix forfaitaire (ou total) ou de prix unitaire – a la charge de la preuve (TF 4A_458/2016, loc. cit. ; TF 4C.23/2004 du 14 décembre 2004 consid. 3.1 ; Gauch, Le contrat d’entreprise, adaptation française par Carron, Zurich 1999, n. 1014, p. 297). Si la partie n’y parvient pas, le prix de l’ouvrage doit être déterminé d’après la valeur du travail et les dépenses de l’entrepreneur (art. 374 CO ; TF 4P.99/2005 du 18 mai 2005 consid. 3.2 ; Tercier/Carron, op. cit ., n° 4019). En cas de doute, on ne présume pas une convention de prix ferme (TF 4C.23/2004, loc. cit . ; Chaix, in Thévenoz/Werro (édit.), Commentaire romand, Code des obligations I, 3 e éd., Bâle 2021, n. 34 ad art. 373).</w:t>
      </w:r>
    </w:p>
    <w:p>
      <w:r>
        <w:rPr>
          <w:b/>
        </w:rPr>
        <w:t>E. 4.4</w:t>
      </w:r>
    </w:p>
    <w:p>
      <w:r>
        <w:t>Dans le cadre de son appel, l’appelante reproche aux premiers juges de ne pas avoir écarté les témoignages de M.________, compagne de L.________ et de Q.________, pourtant étroitement liés à R.________ SA et donc à l’intimée, alors qu’ils ont écarté le témoignage de I.________ en raison de son lien étroit avec l’appelante . L’argumentation de l’appelante ne convainc pas. En effet, on l’a dit, elle ne remet pas en question l’appréciation du tribunal s’agissant du témoignage de I.________. De plus, quand bien même les témoignages de M.________ et Q.________ ne devraient pas être retenus – tel ne sera pas le cas – l’appelante échouerait à établir que les parties étaient convenues d’une rémunération sur la base de forfaits, étant précisé que le fardeau de la preuve à ce sujet lui incombe. Le courrier de l’appelante du 8 novembre 2021 (pièce 128) ne confirme pas l’existence d’un accord des parties sur ce point, celui-ci ayant été rédigé par l’appelante après l’apparition d’un désaccord sur les factures litigieuses envoyées par R.________ SA jusqu’en mars 2021, ce que ledit courrier reconnaît expressément. Pour le surplus, le grief relatif à la force probante des factures produites par les parties a été écarté précédemment (cf. supra consid. 3). En outre, il incombait à l’appelante d’indiquer précisément les éléments du dossier qui auraient éventuellement permis d’établir, dans les faits, un accord conclu entre les parties au sujet d’une rémunération à forfaits. Or tel n’est pas le cas et son argumentation est insuffisante. A défaut d’accord des parties, la règle supplétive de l’art. 374 CO doit s’appliquer, soit une rémunération de l’entrepreneur d’après le prix effectif. Le grief doit être ainsi rejeté.</w:t>
      </w:r>
    </w:p>
    <w:p>
      <w:r>
        <w:rPr>
          <w:b/>
        </w:rPr>
        <w:t>E. 5</w:t>
      </w:r>
    </w:p>
    <w:p>
      <w:r>
        <w:t>L’appelante se plaint d’une violation de l’art. 8 CC. Elle considère que l’intimée n’a pas prouvé les faits qu’elle allègue, soit les sommes que l’appelante lui devait compte tenu de la contradiction entre les factures produites par les parties, soit la pièce 6 et les pièces 100 à 127. Le grief de l’appelante ne remplit pas les exigences de motivation, faute pour elle de désigner précisément les allégués de l’intimée qui n’auraient pas été prouvés. Quand bien même celui-ci serait recevable, il ne pourrait être que rejeté, compte tenu de la confirmation par la Cour de céans de l’appréciation des preuves des premiers juges (cf. supra consid. 3). Les créances alléguées par l’intimée à l’encontre de l’appelante ont bien été prouvées. Dès lors la question du fardeau de la preuve – qui ne concerne que les conséquences de l’échec de la preuve – est sans objet. Le grief doit être rejeté dans la mesure de sa recevabilité.</w:t>
      </w:r>
    </w:p>
    <w:p>
      <w:r>
        <w:rPr>
          <w:b/>
        </w:rPr>
        <w:t>E. 6.1</w:t>
      </w:r>
    </w:p>
    <w:p>
      <w:r>
        <w:t>Finalement, invoquant un abus de droit, l’appelante souligne que l’intimée n’a prétendu au paiement des soldes des factures qu’en 2020 et 2021, pour des travaux ayant eu lieu en 2017 et déjà payés selon elle, alors qu’elle n’avait jamais élevé de prétentions une fois les factures payées. L’intimée aurait manifestement abusé de son droit en laissant s’écouler parfois plusieurs années pour réclamer des soldes de factures.</w:t>
      </w:r>
    </w:p>
    <w:p>
      <w:r>
        <w:rPr>
          <w:b/>
        </w:rPr>
        <w:t>E. 6.2</w:t>
      </w:r>
    </w:p>
    <w:p>
      <w:r>
        <w:t>Aux termes de l’art. 2 CC, chacun est tenu d’exercer ses droits et d’exécuter ses obligations selon les règles de la bonne foi (al. 1). L’abus manifeste d’un droit n’est pas protégé par la loi (al. 2). Le moyen de l’abus de droit ne vise pas à écarter de façon générale l’application de normes juridiques à certaines situations, mais invite le tribunal à tenir compte des particularités de l’espèce lorsque, en raison des circonstances, l’application ordinaire de la loi ne se concilie pas avec les règles de la bonne foi (ATF 144 III 410 consid. 4.2.3 ; ATF 134 III 52 consid. 2.1 ; TF 4A_160/2025 du 28 août 2025 consid. 3.2.1). L’abus de droit n’est réprouvé que s’il est « manifeste », de sorte qu’il doit être admis restrictivement (ATF 144 III 407 consid. 4.2.3 ; ATF 143 III 666 consid. 4.2 ; TF 4A_26/2025 du 15 août 2025 consid. 4.3 ; TF 5A_826/2020 du 30 mars 2022 consid. 4.3.3). Le simple écoulement du temps jusqu’à l’échéance du délai de prescription ne peut être interprété ni comme une renonciation à la prétention ni comme son exercice abusif (ATF 143 III 348 consid. 5.5.1).</w:t>
      </w:r>
    </w:p>
    <w:p>
      <w:r>
        <w:rPr>
          <w:b/>
        </w:rPr>
        <w:t>E. 6.3</w:t>
      </w:r>
    </w:p>
    <w:p>
      <w:r>
        <w:t>On ne peut reprocher aucun abus de droit manifeste à l’intimée, les éléments du dossier ne permettant pas d’établir que les factures produites par l’intimée concernaient des travaux effectués en 2017 et d’ores et déjà payés. En effet, dans le cadre de sa réponse, l’appelante a allégué que la partie adverse n’avait pas effectué de travaux pour elle en 2017. De plus, les factures élaborées et produites par l’appelante sont parfois postérieures à celles produites par l’intimée et parfois antérieures de quelques quinze jours seulement. L’appelante ne démontre pas en quoi les circonstances du cas d’espèce pourraient être constitutives d’un abus de droit de la part de l’intimée, le fait de laisser le temps s’écouler dans le cadre du délai de prescription n’étant pas abusif et n’empêchant pas l’intimée de réclamer les sommes dues par l’appelante, même après plusieurs mois ou années depuis la fin des travaux. A nouveau, le grief doit être écarté.</w:t>
      </w:r>
    </w:p>
    <w:p>
      <w:r>
        <w:rPr>
          <w:b/>
        </w:rPr>
        <w:t>E. 7.1</w:t>
      </w:r>
    </w:p>
    <w:p>
      <w:r>
        <w:t>Fondé sur ce qui précède, l’appel, manifestement mal fondé, doit être rejeté (cf. art. 312 al. 1 in fine CPC) et le jugement confirmé.</w:t>
      </w:r>
    </w:p>
    <w:p>
      <w:r>
        <w:rPr>
          <w:b/>
        </w:rPr>
        <w:t>E. 7.2</w:t>
      </w:r>
    </w:p>
    <w:p>
      <w:r>
        <w:t>Les frais judiciaires de deuxième instance, arrêtés à 1’381 fr. (art. 62 al. 1 TFJC [tarif des frais judiciaires civils du 28 septembre 2010 ; BLV 270.11.5]), seront mis à la charge de l’appelante, qui succombe (art. 106 al. 1 CPC). Ils seront intégralement compensés avec l’avance de frais effectuée par l’appelante (art. 111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