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720 vom 25. September 2025</w:t>
      </w:r>
    </w:p>
    <w:p>
      <w:r>
        <w:t>VD Tribunal cantonal, 2025-09-25, FR</w:t>
      </w:r>
    </w:p>
    <w:p>
      <w:r>
        <w:rPr>
          <w:b/>
        </w:rPr>
        <w:t xml:space="preserve">Quelle: </w:t>
      </w:r>
      <w:r>
        <w:t>https://mcp.opencaselaw.ch/entscheid/vd_findinfo_HC___2025___720</w:t>
      </w:r>
    </w:p>
    <w:p>
      <w:r>
        <w:t>FR: VD_FINDINFO HC / 2025 / 720 du 25 septembre 2025</w:t>
      </w:r>
    </w:p>
    <w:p>
      <w:r>
        <w:t>IT: VD_FINDINFO HC / 2025 / 720 del 25 settembre 2025</w:t>
      </w:r>
    </w:p>
    <w:p>
      <w:pPr>
        <w:pStyle w:val="Heading2"/>
      </w:pPr>
      <w:r>
        <w:t>Regeste</w:t>
      </w:r>
    </w:p>
    <w:p>
      <w:r>
        <w:t>AUTORISATION DE PROCÉDER, PARTIE À LA PROCÉDURE, DÉCISION D'IRRECEVABILITÉ | 308 al. 1 let. a CPC (CH), 312 al. 1 CPC (CH)</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En cas de litige portant sur la résiliation d'un contrat de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valeur litigieuse ne saurait être inférieure au loyer dû pendant la période de trois ans durant laquelle le bail ne pourra pas être résilié si le locataire obtient gain de cause. Le délai de protection commence à courir à compter de l’entrée en force d’une décision judiciaire au sujet d’un bail (art. 271a al. 1 let. e CO (loi fédérale complétant le Code civil suisse, Code des obligations ; RS 220) ; ATF 144 III 346 consid. 1.2.2.3 ; ATF 137 III 389 consid. 1.1 ; TF 4A_594/2010 du 12 janvier 2011 consid. 2.1).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Conformément à l'art. 311 al. 1 CPC, l'appel doit être présenté par écrit et motivé. Le mémoire d'appel doit contenir des conclusions. Les demandes portant sur le paiement d'une somme d'argent doivent être chiffrées (ATF 137 III 617 consid. 4.2.2, 4.3 et 6.1). L'application du principe de la confiance impose toutefois d'interpréter les conclusions à la lumière de la motivation ; l'interdiction du formalisme excessif commande, pour sa part, de ne pas se montrer trop strict dans la formulation des conclusions si, à la lecture du mémoire, on comprend clairement ce que veut le recourant (TF 5A_496/2020 du 23 octobre 2020 consid. 1.3 ; TF 5A_1023/2018 du 8 juillet 2019 consid. 1.2).</w:t>
      </w:r>
    </w:p>
    <w:p>
      <w:r>
        <w:rPr>
          <w:b/>
        </w:rPr>
        <w:t>E. 1.3</w:t>
      </w:r>
    </w:p>
    <w:p>
      <w:r>
        <w:t>En l’espèce, l’appel est dirigé contre une décision finale, qui met fin à l’instance et qui est formé, en temps utile, par une partie disposant d’un intérêt digne de protection (art. 59 al. 2 let. a CPC). Les conclusions prises en appel tendent à l’annulation de la décision litigieuse du 7 août 2025 et au renvoi de la cause au Tribunal pour une décision sur le fond. On comprend que l’appelant conteste l’irrecevabilité de sa demande déposée en vue de contester la fin de son contrat de bail prévue au 1 er octobre 2025 à midi et en demander la prolongation. Compte tenu du loyer de 1'560 fr. prévu dans le bail litigieux et de ce qui est exposé ci-dessus (cf. consid. 1.1), la valeur litigieuse est d’au moins 10'000 fr., de sorte que la voie de l’appel est ouverte.</w:t>
      </w:r>
    </w:p>
    <w:p>
      <w:r>
        <w:rPr>
          <w:b/>
        </w:rPr>
        <w:t>E. 2.1</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(ATF 147 III 176 consid. 4.2.1, RSPC 2021 252 ; ATF 141 III 569 consid. 2.3.3 ; TF 5A_647/2023 du 5 mars 2024 consid. 5.2).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 TF 5A_647/2023 précité, loc. cit. ). En outre, 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et les réf. citées ; TF 5A_647/2023 précité, loc. cit. ) (CACI 8 août 2025/350).</w:t>
      </w:r>
    </w:p>
    <w:p>
      <w:r>
        <w:rPr>
          <w:b/>
        </w:rPr>
        <w:t>E. 2.2</w:t>
      </w:r>
    </w:p>
    <w:p>
      <w:r>
        <w:t>Il ne saurait être remédié à un défaut de motivation, un tel vice n’étant pas d’ordre formel et affectant le recours de manière irréparable, ce même si le mémoire émane d’une personne sans formation juridique (ATF 137 III 617 consid. 6.4 précité ; TF 5A_959/2023 du 23 janvier 2024 consid. 3.2). En particulier, l’octroi d’un délai au sens de l’art. 132 CPC ne permet pas de compléter ou d’améliorer une motivation déficiente (TF 5A_734/2023 du 18 décembre 2023 consid. 3.3 et les réf. citées ; TF 5A_23/2019 du 3 juillet 2019 consid. 3.2.2). Il en va de même de l’art. 56 CPC, qui impose au juge un devoir d’interpellation et concerne les allégations de fait (TF 5A_483/2018 du 23 octobre 2018 consid. 3.2 ; TF 5A_488/2015 du 21 août 2015 consid. 3.2.2).</w:t>
      </w:r>
    </w:p>
    <w:p>
      <w:r>
        <w:rPr>
          <w:b/>
        </w:rPr>
        <w:t>E. 3</w:t>
      </w:r>
    </w:p>
    <w:p>
      <w:r>
        <w:t>En l’espèce, l’appelant a ouvert action contre l’intimée et fait valoir en appel que même si celle-ci n’est pas le bailleur, il était légitimé à la considérer comme tel. Si cette motivation pouvait à première vue paraître suffisante, elle ne contient en réalité pas de critique à l’encontre du raisonnement du Tribunal. Cette autorité n’a en effet pas rejeté la demande pour défaut de légitimation passive de l’intimée. Le Tribunal a déclaré la demande irrecevable parce que l’intimée n’était pas la partie défenderesse indiquée sur l’autorisation de procéder (art. 209 CPC), de sorte que cette autorisation ne permettait pas d’ouvrir action contre l’intimée qu’elle ne désignait pas (cf. TF 5A_741/2020 du 12 avril 2021 consid. 5.2.1). Cette problématique d’identité des parties à la procédure de conciliation et de celles à la procédure au fond diffère de la problématique de la légitimation passive. A cet égard, il n’est pas déterminant que le bailleur soit l’intimée ou [...] ou toute autre personne. L’appelant n’argumente ainsi pas le motif retenu par l’autorité de première instance et n’invoque aucun moyen à cet égard. La motivation de l’appel est en réalité inexistante. Dès lors qu’il s’agit d’un vice irrémédiable, l’appel doit être déclaré irrecevable sans qu’un délai ne soit imparti à l’appelant pour le rectifier, cela malgré son manque de formation juridique. En ce qui concerne les conclusions subsidiaires de l’appelant, la Cour de céans n’est pas compétente pour le conseiller quant aux éventuelles démarches à entreprendre dans cette cause, si ce n’est rappeler la recommandation contenue dans le courrier du Président du 3 juillet 2025.</w:t>
      </w:r>
    </w:p>
    <w:p>
      <w:r>
        <w:rPr>
          <w:b/>
        </w:rPr>
        <w:t>E. 4.1</w:t>
      </w:r>
    </w:p>
    <w:p>
      <w:r>
        <w:t>En définitive, l’appel doit être déclaré irrecevable, selon le mode procédural de l’art. 312 al. 1 in fine CPC.</w:t>
      </w:r>
    </w:p>
    <w:p>
      <w:r>
        <w:rPr>
          <w:b/>
        </w:rPr>
        <w:t>E. 4.2</w:t>
      </w:r>
    </w:p>
    <w:p>
      <w:r>
        <w:t>L’arrêt est rendu sans frais judiciaires de deuxième instance, aucune avance n’ayant été demandée (art. 11 TFJC [tarif des frais judiciaires civils du 28 septembre 2010 ; BLV 270.11.5]).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