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 vom 29. Januar 2025</w:t>
      </w:r>
    </w:p>
    <w:p>
      <w:r>
        <w:t>VD Tribunal cantonal, 2025-01-29, FR</w:t>
      </w:r>
    </w:p>
    <w:p>
      <w:r>
        <w:rPr>
          <w:b/>
        </w:rPr>
        <w:t xml:space="preserve">Quelle: </w:t>
      </w:r>
      <w:r>
        <w:t>https://mcp.opencaselaw.ch/entscheid/vd_findinfo_HC___2025___7</w:t>
      </w:r>
    </w:p>
    <w:p>
      <w:r>
        <w:t>FR: VD_FINDINFO HC / 2025 / 7 du 29 janvier 2025</w:t>
      </w:r>
    </w:p>
    <w:p>
      <w:r>
        <w:t>IT: VD_FINDINFO HC / 2025 / 7 del 29 gennaio 2025</w:t>
      </w:r>
    </w:p>
    <w:p>
      <w:pPr>
        <w:pStyle w:val="Heading2"/>
      </w:pPr>
      <w:r>
        <w:t>Regeste</w:t>
      </w:r>
    </w:p>
    <w:p>
      <w:r>
        <w:t>DIVORCE, OBLIGATION D'ENTRETIEN, MAXIME DE DISPOSITION ET DES DÉBATS, REVENU HYPOTHÉTIQUE, PRÉVOYANCE PROFESSIONNELLE | 125 al. 1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w:t>
      </w:r>
    </w:p>
    <w:p>
      <w:r>
        <w:rPr>
          <w:b/>
        </w:rPr>
        <w:t>E. 1.2</w:t>
      </w:r>
    </w:p>
    <w:p>
      <w:r>
        <w:t>En l’espèce, formé en temps utile – compte tenu des féries judiciaires de fin d’année (cf. art. 145 al. 1 let. c CPC) – par une partie qui a un intérêt digne de protection (art. 59 al. 2 let. a CPC) contre un jugement de divorce, soit une décision finale, portant sur des conclusions, qui capitalisées (art. 92 al. 2 CPC), sont supérieures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2.2 La maxime de disposition est applicable à l'entretien après divorce. Dès lors, le juge est lié par les conclusions des parties et ne peut allouer à une partie plus, ni autre chose, que ce qu'elle demande, ni moins que ce que la partie adverse a reconnu devoir (art. 58 al. 1 CPC ; TF 5A_768/2021 du 16 août 2022 consid. 3.4.4.3). Par ailleurs, dans la procédure en divorce, la fixation de la contribution d'entretien due à un époux est soumise à la maxime des débats (art. 55 al. 1 et 277 al. 1 CPC ; ATF 128 III 411 consid. 3.2.2), ce point étant développé ci-dessous (cf. consid. 6.3.2 infra ). Aussi, en l'espèce, le litige portant uniquement sur la contribution d'entretien due à l’ex-conjointe après le divorce, la maxime des débats (art. 272 CPC) et le principe de disposition (art. 58 al. 1 CPC) trouvent application. 3. 3.1 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3.2 En l’occurrence, outre des pièces de forme (nn. 1 à 4), l’appelant se réfère au résultat du calculateur fédéral des salaires (pièce n. 5), utilisé après la reddition du jugement litigieux en date du 11 janvier 2024, ceci afin de soutenir son argumentation relative au revenu hypothétique devant être imputé à l’intimée. Or, tel que cela sera discuté ci-dessous (cf. consid. 5 infra ), c’est en vain que l’appelant argue l’imputation d’un tel revenu à son ex-épouse. Partant, la pertinence de la pièce n. 5 n’est pas avérée in casu , de sorte qu'il est superflu d’en examiner la recevabilité – laquelle paraît quoi qu'il en soit douteuse sous l’angle de l’art. 317 CPC. Cette question sera dès lors laissée ouverte. 4. Dans un chapitre intitulé « En Fait » (cf. p. 3 de l'appel), l’appelant indique se référer aux faits retenus dans le jugement querellé, « en tant qu’ils ne contredisent pas ses allégués de première comme de [deuxième] instances ». Cela étant, il incombe à l’appelant de motiver son appel (art. 311 al. 1 CPC). Pour satisfaire à son obligation de motivation, celui-ci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 TF 5A_524/2023 du 14 décembre 2023 consid. 3.3.1 et les réf. citées).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569 consid. 2.3.3 ; TF 5A_268/2022 du 18 mai 2022 consid. 4). Il découle de ce qui précède que la critique toute générale formulée par l’appelant, qui ne fait que renvoyer de manière évasive à l’ensemble de ses allégués, sans plus de précision, est irrecevable, faute d’être motivée. Pour le reste, l’appelant indique « insister » sur certains faits qu’il estime importants et pertinents, soit l’âge des enfants au moment de la séparation des parties en 2018 ainsi que le fait que l’intimée disposerait d’une « solide » formation professionnelle et qu’elle n’aurait aucun problème de santé. A l’appui de ces faits, l’appelant offre, à titre de moyen de preuve, l'interrogatoire des parties et le renvoi à la procédure. Cela étant, l’âge des enfants en janvier 2018 ainsi que la formation professionnelle de l’intimée sont des faits qui ressortent du jugement attaqué. De même, l’absence de problème de santé de la précitée a été implicitement retenue par les premiers juges. Il n’y a ainsi pas lieu de compléter ou de modifier le jugement entrepris sur ces points. En revanche, les premiers juges n’ont pas qualifié la formation professionnelle de l’intimée de « solide ». L’appelant n’explique toutefois pas en quoi l’appréciation des juges de première instance à cet égard serait erronée, ni n’expose en quoi le jugement litigieux devrait être corrigé sur cette question. Il faut partant constater l'absence d’argumentation étayée de l’appelant sur ce point, contrairement à son devoir de motivation (cf. art. 311 al. 1 CPC). Il n’en sera dès lors pas tenu compte. Il résulte de ce qui précède qu’on se limitera à prendre en compte les faits tels qu'ils ressortent du jugement attaqué.</w:t>
      </w:r>
    </w:p>
    <w:p>
      <w:r>
        <w:rPr>
          <w:b/>
        </w:rPr>
        <w:t>E. 5</w:t>
      </w:r>
    </w:p>
    <w:p>
      <w:r>
        <w:t>novembre 2019 consid. 1 et les réf. citées ; Jeandin, Commentaire romand, Code de procédure civile [ci-après : CR CPC], 2 e éd., Bâle 2019,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5.1</w:t>
      </w:r>
    </w:p>
    <w:p>
      <w:r>
        <w:t>et 5.4, SJ 2015 I 473 ; cf., pour une cause analogue, TF 4A_534/2013 du 1 er septembre 2014 consid. 6).</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 citées ; TF 5A_202/2022 du 24 mai 2023 consid. 4). La détermination de la contribution d'entretien est laissée, pour une part importante, à l'appréciation du juge du fait, qui applique les règles du droit et de l'équité (art. 4 CC ; ATF 148 III 161 consid. 4.1 et les réf. citées ; TF 5A_1036/2021 du 23 septembre 2022 consid. 3.2.1). Selon la teneur littérale claire de l'art. 125 al. 1 CC, le principe de l'indépendance financière prime le droit à l'entretien post-divorce. Il en découle pour l'époux un devoir de se (ré) 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(ATF 147 III 308 consid. 5.2, 249 consid. 3.4.4 ; ATF 141 III 465 consid. 3.1 ; TF 5A_202/2022 précité consid. 4).</w:t>
      </w:r>
    </w:p>
    <w:p>
      <w:r>
        <w:rPr>
          <w:b/>
        </w:rPr>
        <w:t>E. 5.2.2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TF 5A_332/2021 du 5 juillet 2022 consid. 3.1).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w:t>
      </w:r>
    </w:p>
    <w:p>
      <w:r>
        <w:rPr>
          <w:b/>
        </w:rPr>
        <w:t>E. 5.3</w:t>
      </w:r>
    </w:p>
    <w:p>
      <w:r>
        <w:t>En l’occurrence, l'appelant se prévaut notamment de l’absence de problèmes de santé de l’intimée. Tel que discuté ci-dessus (cf. consid. 4 supra ), cet élément a été pris en compte par les premiers juges, étant relevé que l’intimée ne s’est jamais prévalue de difficultés de cette nature et a, au contraire, activement cherché un emploi. L’appelant fait également valoir qu'il aurait régulièrement incité son ex-conjointe à travailler durant la vie commune, une fois que les enfants auraient été suffisamment grands, et indique que « cela ressort[irait] de ses écritures de première instance ». Cet élément n’est toutefois pas évoqué dans le jugement litigieux. L’appelant se contente en réalité de l’asséner en deuxième instance, sans exposer en quoi les juges auraient, à tort, omis de constater ce fait. Il ne fait au demeurant référence à aucun allégué précis de ses mémoires de première instance, ni ne mentionne de moyens de preuve propres à établir ce fait. A défaut pour l’appelant d’avoir formulé de motivation étayée (cf. art. 311 al. 1 CPC et consid. 4 supra ), respectivement d’avoir régulièrement prouvé son allégation, il n'y a pas lieu d’en tenir compte. L’appelant fait encore valoir la formation et l’âge de l'intimée ainsi que le fait qu’elle n’avait présentement plus d’enfant à charge. Il insiste également sur la possibilité concrète de la précitée de travailler après la séparation survenue en 2018 au vu de l'âge des enfants à cette époque ainsi que sur le « niveau de chômage au plus bas » et sur le fait que « si [l’intimée] faisait preuve d’un peu de bonne volonté », elle pourrait travailler à 100 %. Cela étant, aucun de ces éléments n'a été omis par les premiers juges, qui en ont tenu compte dans leur raisonnement (cf. pp. 20s. du jugement entrepris), mais qui ont considéré que l'intimée avait mis en œuvre tout ce qui pouvait être attendu d'elle pour retrouver une activité professionnelle, en vain, ce après avoir détaillé ses recherches et leur résultat pour la période comprise entre 2018 et postérieurement à juillet 2022, ceci en se référant aux pièces du dossier en attestant. L'appelant ne conteste toutefois pas valablement ce raisonnement pourtant décisif, par exemple en tentant d'invoquer le caractère insuffisant des recherches d'emplois effectuées par l'intéressée depuis 2018. A nouveau, il se borne à une critique toute générale du jugement querellé, se référant à diverses circonstances personnelles à l'intimée et au marché de l'emploi sans aucune référence à un quelconque élément du dossier, et sans même contester les références aux pièces citées par les premiers juges à l'appui de leur appréciation. Sa critique est donc insuffisante et le grief doit être rejeté, l’argumentation des premiers juges ne prêtant pas le flanc à la critique.</w:t>
      </w:r>
    </w:p>
    <w:p>
      <w:r>
        <w:rPr>
          <w:b/>
        </w:rPr>
        <w:t>E. 6.1</w:t>
      </w:r>
    </w:p>
    <w:p>
      <w:r>
        <w:t>S’agissant du calcul de la contribution d’entretien, l’appelant critique divers postes du budget de l’intimée.</w:t>
      </w:r>
    </w:p>
    <w:p>
      <w:r>
        <w:rPr>
          <w:b/>
        </w:rPr>
        <w:t>E. 6.2.1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6.2.2</w:t>
      </w:r>
    </w:p>
    <w:p>
      <w:r>
        <w:t>Pour calculer les besoins des parties, les postes à retenir sont notamment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comprend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6.2.3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6.3.1</w:t>
      </w:r>
    </w:p>
    <w:p>
      <w:r>
        <w:t>L’appelant critique tout d’abord les frais médicaux non remboursés retenus dans le budget de l’intimée. Selon lui, ils devraient être qualifiés de ponctuels dans la mesure où il n’était pas assuré que l’intimée aurait à les supporter chaque année. De surcroît, la participation aux coûts de la santé serait limitée à 700 fr. annuel, alors que le montant retenu par les premiers juges serait d’un peu moins de 1'000 francs.</w:t>
      </w:r>
    </w:p>
    <w:p>
      <w:r>
        <w:rPr>
          <w:b/>
        </w:rPr>
        <w:t>E. 6.3.2</w:t>
      </w:r>
    </w:p>
    <w:p>
      <w:r>
        <w:t>supra ), il n’est pas certain que par cette simple et générique déclaration de contestation, l’appelant aurait valablement contesté le poste relatif aux frais médicaux non remboursés. De même, à l’allégué n. 188 de sa duplique du 17 décembre 2021, l’intimée avait, à nouveau, intégré dans la liste de ses charges les frais médicaux susmentionnés. Si, dans ses déterminations du 10 mai 2022, l’appelant avait certes contesté l’allégué précité, il avait néanmoins précisé remettre en cause « la base mensuelle, le loyer, les frais de transports, les impôts, le forfait télécommunication, les arriérés d’impôts », mais non pas les frais médicaux litigieux. Quoi qu’il en soit, cette question peut en l’occurrence demeurer indécise, dans la mesure où les premiers juges étaient en tout état légitimés à inclure au budget de l’intimée une charge relative aux frais médicaux non remboursés à concurrence de 79 fr. 95. En effet, outre que le jugement litigieux retient l’existence de tels frais en 2022, il ressort de la pièce n. 118 (soit un décompte pour l’année 2020 établi le 9 janvier 2021 par l’assureur maladie complémentaire [...]), laquelle est mentionnée comme moyen de preuve aux allégués nn. 77 de la réponse et 188 de la duplique, que l’intimée s’était également acquittée de frais de cette nature en 2020. De même, on observe qu’à l’appui de sa requête d’assistance judiciaire du 15 juin 2020, l’intimée avait allégué des frais médicaux non remboursés et avait produit un décompte pour l’année 2019 établi le 12 janvier 2020 par [...]. Partant, l’appelant ne saurait être suivi lorsqu’il prétend que cette charge ne serait pas récurrente. Du reste, si celui-ci « rappelle que la participation aux coûts de la santé » serait limitée à 700 fr. annuellement (cf. p. 4 de l’appel), sa critique ne repose néanmoins sur aucun moyen de preuve, ni sur aucune autre démonstration, de sorte qu’il n’établit pas valablement l’existence de la limite à la participation aux coûts. Il n’y a dès lors pas à modifier le montant de 79 fr. 95 pris en compte par les premiers juges. Par conséquent, le grief de l’appelant doit être rejeté.</w:t>
      </w:r>
    </w:p>
    <w:p>
      <w:r>
        <w:rPr>
          <w:b/>
        </w:rPr>
        <w:t>E. 6.3.3</w:t>
      </w:r>
    </w:p>
    <w:p>
      <w:r>
        <w:t>En l’occurrence, il sied de relever à titre liminaire que contrairement à ce que son devoir de motivation lui impose (cf. art. 311 al. 1 CPC et consid. 4 supra ), l'appelant ne cite pas même le passage pertinent du jugement attaqué, ni les pièces qui concernent les frais médicaux non remboursés qu'il conteste. Par ailleurs, si l'appelant se prévaut certes en deuxième instance de l'absence de pérennité de cette charge, subsidiairement expose qu'elle devrait être limitée à hauteur de la « participation aux coûts de la santé », on peut toutefois se demander s’il a valablement contesté cette charge en première instance. En effet, dans sa réponse du 17 mai 2021, l’intimée avait notamment inclus, dans le tableau répertoriant toutes ses charges mensuelles, des frais médicaux non remboursés de 71 fr. 40 (cf. allégué n. 77). Dans sa réplique du 9 septembre 2021, l’appelant avait contesté en bloc cet allégué, sans toutefois indiquer précisément quelle(s) charge(s) étai(en)t niée(s). Au vu des exigences posées par la jurisprudence en la matière (cf. consid.</w:t>
      </w:r>
    </w:p>
    <w:p>
      <w:r>
        <w:rPr>
          <w:b/>
        </w:rPr>
        <w:t>E. 6.4</w:t>
      </w:r>
    </w:p>
    <w:p>
      <w:r>
        <w:t>L'appelant conteste ensuite les frais de véhicule de l'intimée, soit la taxe SAN, le leasing pour la voiture, le forfait pour l’essence et l'assurance-véhicule, dont l’intéressée n'aurait pas besoin, étant sans emploi, respectivement au chômage. A cet égard, il précise, à raison, s'être opposé à ces charges, notamment dans son mémoire de réplique. Il en a d’ailleurs fait de même dans ses déterminations du 10 mai 2022, tel que susmentionné (cf. consid. 6.3.3 supra ). Il convient dès lors de constater que c’est de manière erronée que les premiers juges sont partis du principe que ces charges avaient été admises par l’appelant. Ce point étant clarifié, il convient toutefois de rappeler qu’en l'occurrence, c’est à l'aune du minimum vital du droit de la famille élargi que les charges des parties ont été, respectivement doivent être calculées, vu la situation globale des revenus de celles-ci, ce que l’appelant ne nie pas. Or, dans le cadre du minimum vital du droit de la famille, les frais de véhicule privé peuvent être pris en considération d’une manière plus large que dans le minimum vital LP ; en particulier en présence de moyens financiers suffisants et lorsque l’usage d’un tel véhicule avait déjà cours durant la vie commune, cette charge peut être admise indépendamment de savoir si un recours aux transports publics serait exigible (Juge unique CACI 16 octobre 2024/466 ; Juge unique CACI 22 mai 2024/238 ; Stoudmann, Le divorce en pratique, 2 e éd., Lausanne 2023, pp. 192 et 193 et les réf. cit.). Dès lors, l'argumentaire de l'appelant, qui repose exclusivement sur l'absence de nécessité de l'usage d'un véhicule par l'intimée en lien avec sa situation professionnelle, n'est pas pertinent en l'espèce. Faute pour celui-ci d'invoquer d’autres arguments à l'encontre de cette charge, son grief, qui est infondé, doit être rejeté.</w:t>
      </w:r>
    </w:p>
    <w:p>
      <w:r>
        <w:rPr>
          <w:b/>
        </w:rPr>
        <w:t>E. 6.5.1</w:t>
      </w:r>
    </w:p>
    <w:p>
      <w:r>
        <w:t>L'appelant réfute qu’un montant de 507 fr. 85 au titre d'AVS/LPP puisse être pris en compte dans le budget de l’intimée, au vu de la somme que celle-ci percevra du fait du transfert d'une part de la LPP de l'appelant .</w:t>
      </w:r>
    </w:p>
    <w:p>
      <w:r>
        <w:rPr>
          <w:b/>
        </w:rPr>
        <w:t>E. 6.5.2</w:t>
      </w:r>
    </w:p>
    <w:p>
      <w:r>
        <w:t>A nouveau, il faut constater que l'appelant ne renvoie à aucun passage de la décision attaquée ni du dossier pour documenter son grief. Celui-ci fait certes valoir que le raisonnement des premiers juges en la matière ne tient pas compte du fait que l'intimée devait recevoir le montant de 204'963 fr. 80 au titre du partage des avoirs de prévoyance LPP de la caisse de l'appelant. Il n'en tire néanmoins aucune conclusion chiffrée sur le montant que l'intimée devrait ou non recevoir une fois déduit le montant du transfert LPP précité. Le grief étant insuffisamment motivé, il apparaît irrecevable (cf. art. 311 al. 1 CPC et consid. 4 supra ). A supposer recevable, il faudrait quoi qu’il en soit constater que les premiers juges n'ont pas méconnu le fait que l'intimée recevra une part du libre passage accumulé par l'appelant durant le mariage, puisqu'ils ont rappelé la convention partielle sur les effets accessoires du divorce signée par les parties le 24 février 2023, laquelle porte notamment, à son chiffre I, sur cet aspect. En effet, les parties étaient convenues de requérir qu'ordre soit donné à l’institution de prévoyance de l’appelant de prélever sur le compte de prévoyance professionnelle ouvert à son nom le montant de 204'963 fr. 80, ajouté des intérêts compensatoires courant à partir du 2 septembre 2020 au jour du transfert, et de transférer ce montant, dans un but de prévoyance professionnelle, sur le compte de libre passage de l’intimée auprès de sa caisse de prévoyance. Les premiers juges ont d’ailleurs répété les conditions de ce transfert au chiffre IX du dispositif du jugement litigieux et ont ordonné aux institutions de prévoyance concernées d’y procéder. Nonobstant cet aspect, l’appelant semble perdre de vue que l'entretien convenable au sens de l'art. 125 CC comprend la constitution d'une prévoyance vieillesse appropriée (ATF 135 III 158 consid. 4 ; TF 5A_632/2019 du 5 février 2020 consid. 2.5.1), dont le but est de compenser les pertes futures en matière de prévoyance liées aux conséquences de l'impact décisif du mariage, lorsque l'époux crédirentier ne peut pas, après le divorce , exercer d'activité lucrative ou ne peut exercer qu'une activité limitée, et qu'il ne peut pas, de ce fait, verser de cotisations complètes pour sa propre prévoyance vieillesse (TF 5A_903/2019 du 6 juillet 2020 consid. 4.3.1). L'entretien de prévoyance de l'art. 125 al. 1 CC ne vise ainsi pas le partage de la prévoyance professionnelle acquise durant le mariage , lequel est réglé par l’art. 122 CC (cf. ATF 129 III 7 consid. 3.1.2), étant relevé qu’une lacune de prévoyance durant la procédure de divorce n'est cependant pas visée par l'art. 122 CC et peut justifier l'entretien de prévoyance (Stoudmann, op. cit. , p. 345 et les réf. citées). Aussi, le simple fait que les prestations de sortie acquises respectivement par les parties durant le mariage aient été compensées et partagées de sorte que l’intimée reçoit à ce titre un montant de plus de 200'000 fr., ne signifie pas qu’il ne faille pas tenir compte d'un montant de 507 fr. 85 au titre de constitution d'une prévoyance vieillesse (AVS / LPP) appropriée après le divorce dans le budget de l’intéressée pour calculer son droit à l’entretien. Par conséquent, en tout état de cause, le grief de l’appelant est infondé et devrait dès lors être rejeté. Pour le surplus, l’appelant ne conteste pas le calcul opéré par les premiers juges sur cette question et il n'y a donc pas lieu de l'examiner plus avant.</w:t>
      </w:r>
    </w:p>
    <w:p>
      <w:r>
        <w:rPr>
          <w:b/>
        </w:rPr>
        <w:t>E. 6.6</w:t>
      </w:r>
    </w:p>
    <w:p>
      <w:r>
        <w:t>Il découle de ce qui précède qu’aucun des griefs de l’appelant portant sur le budget de l’intimée n’a été admis, qu’il soit question de son revenu (cf. consid. 5 supra ) ou de ses charges (cf. consid. 6.1 à 6.5 supra ). Le jugement attaqué peut dès lors être entièrement maintenu sur ces points. L’appelant ne critique par ailleurs pas son propre budget (revenu ou charges) ni la manière dont les premiers juges ont calculé la contribution d’entretien sur la base des budgets respectifs des parties. Partant, le montant de la contribution d’entretien, arrêté à 1'800 fr., peut d’ores et déjà être confirmé.</w:t>
      </w:r>
    </w:p>
    <w:p>
      <w:r>
        <w:rPr>
          <w:b/>
        </w:rPr>
        <w:t>E. 7.1</w:t>
      </w:r>
    </w:p>
    <w:p>
      <w:r>
        <w:t>Il reste encore à examiner le dernier grief de l'appelant, par lequel il conteste devoir participer à l'entretien de l'intimée jusqu'à l'âge de sa propre retraite. Il estime que les premiers juges n'auraient pas exposé pour quelle raison l’intimée aurait droit à une contribution d’entretien d'une telle durée et que, ce faisant, ils lui auraient offert un « oreiller de paresse ». Selon lui, les premiers juges auraient dû estimer qu'après une année au maximum après la reddition du jugement entrepris, l'intimée était en mesure de réaliser un revenu d'au moins 5'000 fr. par mois, ce délai étant suffisant pour lui permettre de retrouver un emploi.</w:t>
      </w:r>
    </w:p>
    <w:p>
      <w:r>
        <w:rPr>
          <w:b/>
        </w:rPr>
        <w:t>E. 7.2</w:t>
      </w:r>
    </w:p>
    <w:p>
      <w:r>
        <w:t>En l’occurrence, les premiers juges ont rappelé les conditions donnant droit à une rente après divorce au sens de l'art. 125 CC et notamment son caractère « équitable ». Ils n'ont certes pas expressément motivé la durée de la contribution jugée nécessaire, mais ont implicitement considéré que dès lors que l'impossibilité de l'intimée de se réinsérer sur le marché de l'emploi était avérée, malgré le fait que celle-ci avait déployé tous les efforts que l'on pouvait attendre d'elle, la contribution était due jusqu'à ce que la situation de revenu prévisible du débirentier justifie sa suppression, soit jusqu'à la retraite de l'appelant. On peut admettre qu'une telle motivation est suffisante, étant relevé que l'appelant est en mesure de la contester en deuxième instance. Au demeurant, même à considérer que cette motivation soit lacunaire et que le droit d’être entendu de l’appelant aurait été violé pour cette raison, il faudrait quoi qu’il en soit retenir que cette violation aurait été réparée par la Cour de céans, compte tenu de son libre pouvoir d’examen en fait et en droit (sur cette question, cf. ATF 142 II 218 consid. 2.3 ; TF 5A_644/2022 du 31 octobre 2022 consid. 3.1).</w:t>
      </w:r>
    </w:p>
    <w:p>
      <w:r>
        <w:rPr>
          <w:b/>
        </w:rPr>
        <w:t>E. 7.3</w:t>
      </w:r>
    </w:p>
    <w:p>
      <w:r>
        <w:t>Ceci posé, on relèvera d'emblée que dans la mesure où la contestation de l’appelant repose sur la prémisse erronée de la possibilité pour l'intimée de se réinsérer sur le marché de l'emploi, cette question ayant d’ores et déjà été discutée ci-dessus (cf. consid. 5.3 supra ), le grief doit être rejeté. Au surplus, le texte de l’art. 125 CC ne fixe pas de limite à la durée de l'entretien après divorce (Stoudmann, op. cit. , p. 362 et la réf. citée). Pour l’arrêter, le juge doit tenir compte de l'ensemble des critères énumérés de façon non exhaustive à l'art. 125 al. 2 CC ( TF 5A_88/2023 du 19 septembre 2023 consid. 4.1 ; TF 5A_245/2021 du 7 septembre 2022 consid. 3.2). Il faut notamment prendre en considération la durée du mariage ; ainsi, en cas de mariage de longue durée dans lequel l'un des époux s'est entièrement consacré à la prise en charge des enfants, la solidarité après le divorce peut justifier d'assez longues rentes d'entretien qui peuvent se prolonger jusqu'à l'âge de la retraite du débirentier, voire au-delà ( Stoudmann, op. cit. , p. 363 et les réf. infrapaginales citées sous nn. 1524 et 1525). En revanche, on ne saurait déterminer la durée de la pension en fonction de la seule durée du mariage – ce critère devant être pris en compte au même titre que les autres critères mentionnés à l'art. 125 al. 2 CC – et le débirentier peut être condamné à contribuer à l'entretien de son ex-conjoint pour une durée supérieure à celle du mariage (TF 5A_98/2020 du 18 septembre 2020 consid. 4.1.1 et 4.1.2 et les nombreuses réf. citées ; Stoudmann, op. cit. , p. 363). En pratique, l'obligation est cependant souvent fixée jusqu'au jour où le débiteur de l'entretien atteint l'âge de la retraite (TF 5A_88/2023 précité consid. 4.1 ; TF 5A_245/2021 précité consid. 3.2 ; TF 5A_98/2020 précité consid. 4.1.1), notamment si – comme c'est le cas en l'espèce – il n'est pas possible d'attendre d'un époux qu'il parvienne un jour à financer lui-même entièrement son entretien (Stoudmann, op. cit. , p. 366). Cela se justifie par le fait que les moyens à disposition diminuent considérablement à partir de ce moment-là (ATF 141 III 465 consid. 3.1 in JdT 2015 II 415 ; Stoudmann, op. cit. , pp. 367s et les réf. cit.). En outre, la durée de la contribution d’entretien dépend de la question de savoir si le juge peut, à partir d’une certaine date, retenir un revenu hypothétique suffisant pour que l’ex-conjoint puisse couvrir seul ses besoins (Stoudmann, op. cit. , p. 364 et les réf. citées). Ainsi, in casu , on constate que les premiers juges ont apporté à la situation concrète la réponse la plus fréquente dans la pratique judiciaire, laquelle est parfaitement justifiée au vu des circonstances du cas d’espèce et peut être confirmée, autant que de besoin.</w:t>
      </w:r>
    </w:p>
    <w:p>
      <w:r>
        <w:rPr>
          <w:b/>
        </w:rPr>
        <w:t>E. 8</w:t>
      </w:r>
    </w:p>
    <w:p>
      <w:r>
        <w:t>Procédant par appréciation anticipée, il faut constater que les réquisitions de preuves de l’appelant (soit l’interrogatoire des parties et la production par l’intimée des recherches d’emplois qu’elle a effectuées depuis les plaidoiries finales du 24 février 2023) ne permettraient pas de modifier le raisonnement tenu par la Cour de céans sur la base des preuves déjà recueillies (ATF 146 III 73 consid. 5.2.2 ; ATF 138 III 374 consid. 4.3.2 ; TF 4A_226/2022 du 27 septembre 2022 consid. 4.1). Ces réquisitions doivent dès lors être rejetées.</w:t>
      </w:r>
    </w:p>
    <w:p>
      <w:r>
        <w:rPr>
          <w:b/>
        </w:rPr>
        <w:t>E. 9.1</w:t>
      </w:r>
    </w:p>
    <w:p>
      <w:r>
        <w:t>En définitive, l'appel, manifestement infondé, doit être rejeté selon le mode procédural de l'art. 312 al. 1 in fine CPC et le jugement confirmé.</w:t>
      </w:r>
    </w:p>
    <w:p>
      <w:r>
        <w:rPr>
          <w:b/>
        </w:rPr>
        <w:t>E. 9.2</w:t>
      </w:r>
    </w:p>
    <w:p>
      <w:r>
        <w:t>Au vu de l’issue de l’appel, les frais judiciaires de deuxième instance, arrêtés à 1’200 fr. (art. 63 al. 2 TFJC [tarif des frais judiciaires civils du 28 septembre 2010 ; BLV 270.11.5]), seront mis à la charge de l’appelant, qui succombe (art. 106 al. 1 CPC). L’intimée n’ayant pas été invitée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