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690 vom 27. August 2025</w:t>
      </w:r>
    </w:p>
    <w:p>
      <w:r>
        <w:t>VD Tribunal cantonal, 2025-08-27, FR</w:t>
      </w:r>
    </w:p>
    <w:p>
      <w:r>
        <w:rPr>
          <w:b/>
        </w:rPr>
        <w:t xml:space="preserve">Quelle: </w:t>
      </w:r>
      <w:r>
        <w:t>https://mcp.opencaselaw.ch/entscheid/vd_findinfo_HC___2025___690</w:t>
      </w:r>
    </w:p>
    <w:p>
      <w:r>
        <w:t>FR: VD_FINDINFO HC / 2025 / 690 du 27 août 2025</w:t>
      </w:r>
    </w:p>
    <w:p>
      <w:r>
        <w:t>IT: VD_FINDINFO HC / 2025 / 690 del 27 agosto 2025</w:t>
      </w:r>
    </w:p>
    <w:p>
      <w:pPr>
        <w:pStyle w:val="Heading2"/>
      </w:pPr>
      <w:r>
        <w:t>Regeste</w:t>
      </w:r>
    </w:p>
    <w:p>
      <w:r>
        <w:t>DOMMAGE IRRÉPARABLE, DÉCISION D'IRRECEVABILITÉ, MOTIVATION DE LA DEMANDE, POUVOIR DE REPRÉSENTATION | 132 CPC (CH), 319 let. b ch. 2 CPC (CH), 321 al. 1 CPC (CH), 68 al. 2 CPC (CH)</w:t>
      </w:r>
    </w:p>
    <w:p>
      <w:pPr>
        <w:pStyle w:val="Heading2"/>
      </w:pPr>
      <w:r>
        <w:t>Volltext</w:t>
      </w:r>
    </w:p>
    <w:p>
      <w:r>
        <w:t>Vaud Tribunal cantonal Chambre des recours civile HC / 2025 / 690</w:t>
      </w:r>
    </w:p>
    <w:p>
      <w:r>
        <w:t>DOMMAGE IRRÉPARABLE, DÉCISION D'IRRECEVABILITÉ, MOTIVATION DE LA DEMANDE, POUVOIR DE REPRÉSENTATION | 132 CPC (CH), 319 let. b ch. 2 CPC (CH), 321 al. 1 CPC (CH), 68 al. 2 CPC (CH)</w:t>
      </w:r>
    </w:p>
    <w:p>
      <w:r>
        <w:t>TRIBUNAL CANTONAL PO24.055834-251083 187 CHAMBRE DES RECOURS CIVILE _________________________________________ Arrêt du 27 août 2025 __________________ Composition :               Mme Courbat , présidente MM. Winzap et Pellet, juges Greffière :              Mme Ayer ***** Art. 68 al. 2, 132, 319 let. b ch. 2 et 321 al. 1 CPC Statuant à huis clos sur le recours interjeté par C.________ , à [...], demandeur, contre l’ordonnance d’instruction rendue le 11 août 2025 par la Présidente du Tribunal civil de l’arrondissement de l’Est vaudois dans la cause divisant le recourant d’avec la B.________ , à [...], défenderesse, la Chambre des recours civile du Tribunal cantonal considère : En fait et en droit : 1. Le 9 décembre 2024, C.________ a déposé une demande à l’encontre de la B.________, concluant, avec suite de frais et dépens, à l’annulation des décisions prises sous chiffres 3, 4, 5 et 10 de l’ordre du jour de l’assemblée générale ordinaire des copropriétaires du 17 janvier 2024. 2. Par ordonnance d’instruction du 11 août 2025, la Présidente du Tribunal civil de l’arrondissement de l’Est vaudois (ci-après : la présidente ou la première juge) a dit que la procédure ordinaire était applicable à la présente cause (I) et a statué sans frais judiciaires ni dépens (II). En substance, la présidente a considéré que la valeur litigieuse de la cause susmentionnée était supérieure à 30'000 fr. et que la procédure ordinaire était dès lors applicable. 3. Par acte du 21 août 2025, C.________ (ci-après : le recourant), représenté par H.________ Sàrl, a interjeté recours contre cette ordonnance d’instruction concluant, avec suite de frais et dépens, préalablement à l’octroi de l’effet suspensif et, principalement, à l’annulation de la décision du 11 août 2025. La B.________ (ci-après : l’intimée) n’a pas été invitée à se déterminer. 4. 4.1 4.1.1 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soit la Chambre des recours civile (art. 73 LOJV [loi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 En l’espèce, c’est à juste titre que la présidente a qualifié sa décision d’ordonnance d’instruction au sens de l’art. 319 let. b ch. 2 CPC. En effet, cette décision ne peut être qualifiée de finale ou de partiellement finale puisqu’elle ne met pas fin à la procédure opposant les parties. Elle ne constitue pas non plus une décision incidente au sens de l’art. 237 al. 1 CPC, l’autorité de céans ne pouvant rendre une décision contraire susceptible de mettre fin au procès et permettant de réaliser une économie de temps et de frais appréciable. Par conséquent, la voie du recours n’est ouverte que si l’ordonnance d’instruction entreprise peut causer un préjudice difficilement réparable. 4.1.2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SJ 2012 I 73 ; TF 4A_298/2020 du 3 juillet 2020 consid. 5.3 ; CREC 9 janvier 2024/5 consid. 4.1.2 et la réf. citée).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Jeandin, in Commentaire romand, Code de procédure civile, 2 e éd., Bâle 2019, n. 22 ad art. 319 CPC et les réf. citées). Il incombe au recourant d'établir que sa situation procédurale serait rendue notablement plus difficile et péjorée si la décision querellée était mise en œuvre (CREC 23 mars 2023/64 consid. 4.1.2 ; CREC 22 juin 2021/178 consid. 5.1.3), étant souligné qu'une simple prolongation de la procédure ou un accroissement des frais ne suffisent pas (CREC 15 octobre 2020/239 consid. 2.2.1 ; CREC 13 décembre 2019/344 consid. 3.2.1). 4.1.3 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 4.2 4.2.1 Il convient préalablement d’examiner si H.________ Sàrl peut valablement représenter le recourant en procédure. 4.2.2 Aux termes de l’art. 60 CPC,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Sont en particulier autorisés à représenter en justice à titre non professionnel les proches de la partie, qu’il s’agisse d’un parent ou d’un ami (Bohnet, Commentaire romand, Code de procédure civile [ci-après : CR-CPC], 2 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En ce qui concerne la représentation professionnelle, les restrictions énoncées à l’art. 68 al. 2 CPC s’appliquent (TF 5A_803/2019 du 3 avril 2020 consid. 3.3, in RSPC 2020 p. 350), étant précisé que la liste des représentants professionnels de cette disposition est exhaustive (CACI 1 er décembre 2023/485 consid. 3.2.2 ; CREC 8 octobre 2024/243 consid. 3.2.3.1). Selon l’art. 68 al. 2 let. a CPC,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 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ce qui est le cas dans le canton de Vaud (cf. art. 2 let. a, d et g LPAg [loi vaudoise du 20 mai 1957 sur la profession d’agent d’affaires breveté ; BLV 179.11]). Enfin, l’art. 68 al. 2 let. c CPC autorise les mandataires professionnellement qualifiés à représenter les justiciables devant les juridictions spéciales en matière de contrat de travail si le droit cantonal le prévoit, ce qui est le cas dans le canton de Vaud (art. 36 al. 3 CDPJ [Code de droit privé judiciaire vaudois du 12 janvier 2010 ; RSV 211.02]). Un délai au sens de l’art. 132 CPC est fixé lorsque le plaideur a déposé par inadvertance ou involontairement une requête viciée au sens de cette disposition. L’octroi d’un délai supplémentaire est toutefois exclu en cas d’intervention d’une personne non inscrite en qualité d’avocate alors qu’il existe un monopole en la matière (TF 5D_142/2017 du 24 avril 2018 consid. 3.1 ; TF 5A_460/2017 du 8 août 2017 consid. 3.3.2 ; CACI 1 er décembre 2023/485 précité consid. 3.2.3). 4.2.3 En l’occurrence, le recourant a mandaté la société H.________ Sàrl pour le représenter dans la procédure. La précitée se présente comme « mandataire » et agit au profit d’une procuration du 5 août 2025 signée par [...]. Cette procuration permet à H.________ Sàrl de représenter le recourant « aux fins de défendre ses intérêts et le représenter dans les procédures pénales et civiles liées à l’immeuble sis [...], à [...] pour faire valoir ses droits dans les procédures précitées à l’encontre de l’administration de la PPE […] ». Cette représentante n’indique d’aucune manière agir en qualité de personne de confiance, ne prétendant pas être liée au recourant par un lien d’amitié ou de parenté particulier. La procuration est rédigée de manière très large. Une telle formulation démontre que H.________ Sàrl est disposée à intervenir de manière générale en faveur du recourant. Il s’ensuit que H.________ Sàrl représente le recourant à titre professionnel. N’agissant ni en qualité d’avocat (art. 68 al. 2 let. a CPC), ni en tant qu’agent d’affaires breveté (art. 68 al. 2 let. b CPC) ou comme mandataire professionnel qualifié (art. 68 al. 2 let. c CPC ; art. 36 al. 3 CDPJ) et ne prétendant d’ailleurs pas intervenir à ce titre, la capacité de postuler en faveur du recourant de H.________ Sàrl fait défaut. A ce titre déjà, il y a lieu de déclarer le recours irrecevable, sans qu’un délai supplémentaire au sens de l’art. 132 CPC n’ait à être octroyé (cf. supra consid. 4.2.2). 4.3 Ensuite, le recourant invoque dans son acte l’incapacité de postuler du conseil de l’intimée et soutient que la valeur litigieuse de la cause correspond à un montant n’excédant pas 174'720 francs. Ses arguments sont dénués de pertinence. En effet, la valeur litigieuse indiquée par le recourant conduit quoiqu’il en soit à l’application de la procédure ordinaire, ainsi que l’a retenu la première juge, et la capacité de postuler de l’avocat de l’intimée ne fait pas l’objet de la décision entreprise. Au surplus, on ne distingue aucun grief formulé à l’encontre la décision attaquée – qui ne prête du reste pas le flanc à la critique – le recourant n’invoquant et ne démontrant pas de violation du droit ni de constatation inexacte des faits. Qui plus est, le recourant ne fait aucunement valoir l’existence d’un préjudice difficilement réparable. Dans ces conditions, faute de motivation suffisante, constituant un vice irréparable (cf. supra consid. 4.1.3), il ne peut être entré en matière sur le recours. Compte tenu de ce qui précède, la requête d’effet suspensif, au demeurant également insuffisamment motivée, est dénuée d’objet. 5. 5.1 En définitive, le recours doit être déclaré irrecevable conformément à l'art. 322 al. 1 in fine CPC. 5.2 Le présent arrêt peut être rendu sans frais judiciaires de deuxième instance (art. 11 TFJC [tarif des frais judiciaires civils du 28 septembre 2010 ; BLV 270.11.5]). 5.3 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La présidente :               La greffière : Du L'arrêt qui précède, dont la rédaction a été approuvée à huis clos, est notifié à : ‑ C.________, personnellement, ‑ H.________ Sàrl, - Me Mattieu Genillod (pour la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