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2025 / 688 vom 29. September 2025</w:t>
      </w:r>
    </w:p>
    <w:p>
      <w:r>
        <w:t>VD Tribunal cantonal, 2025-09-29, FR</w:t>
      </w:r>
    </w:p>
    <w:p>
      <w:r>
        <w:rPr>
          <w:b/>
        </w:rPr>
        <w:t xml:space="preserve">Quelle: </w:t>
      </w:r>
      <w:r>
        <w:t>https://mcp.opencaselaw.ch/entscheid/vd_findinfo_HC___2025___688</w:t>
      </w:r>
    </w:p>
    <w:p>
      <w:r>
        <w:t>FR: VD_FINDINFO HC / 2025 / 688 du 29 septembre 2025</w:t>
      </w:r>
    </w:p>
    <w:p>
      <w:r>
        <w:t>IT: VD_FINDINFO HC / 2025 / 688 del 29 settembre 2025</w:t>
      </w:r>
    </w:p>
    <w:p>
      <w:pPr>
        <w:pStyle w:val="Heading2"/>
      </w:pPr>
      <w:r>
        <w:t>Regeste</w:t>
      </w:r>
    </w:p>
    <w:p>
      <w:r>
        <w:t>DILIGENCE, AVOCAT, ASSURANCE DE RESPONSABILITÉ CIVILE, CONDITIONS GÉNÉRALES DU CONTRAT, PRINCIPE DE LA CONFIANCE{INTERPRÉTATION DU CONTRAT}, PRESCRIPTION | 398 CO, 46 LCA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LTF), l’arrêt de la Chambre des recours est exécutoire depuis sa reddition. Partant, le délai de prescription de l’art. 46 aLCA a commencé à courir à ce moment. Le délai de prescription serait donc venu à échéance le 10 février 2014, soit alors que l’appelant n’était pas fondé à agir contre G.________, la cession des droits de la masse n’étant intervenue que le 8 avril 2015. On relèvera que la créance invoquée était de toute façon déjà prescrite à cette date, la révocation de la cession intervenue le 5 février 2019 étant d’ailleurs fondée sur ce motif (cf. supra let. C/12). Faute de droit d’action directe du lésé contre l’assureur – l’art. 60 al. 1bis LCA ne s’appliquant pas aux contrats conclus avant la modification du 19 juin 2020 (TF 4A_189/2024 du 27 janvier 2025 consid. 2.4.8, destiné à la publication) –, on ne saurait reprocher à l’intimé de ne pas avoir interrompu la prescription avant d’obtenir la cession des – supposés – droits de la masse contre l’assureur RC du notaire. Partant, outre que dénuée de pertinence, la critique se révèle infondée.</w:t>
      </w:r>
    </w:p>
    <w:p>
      <w:r>
        <w:rPr>
          <w:b/>
        </w:rPr>
        <w:t>E. 4</w:t>
      </w:r>
    </w:p>
    <w:p>
      <w:r>
        <w:t>Au vu de ce qui précède, l’appel, manifestement mal fondé, doit être rejeté en application de l’art. 312 al. 1 in fine CPC, le jugement entrepris étant confirmé. Les frais judiciaires de deuxième instance, arrêtés à 1'500 fr. (art. 62 al. 1 TFJC [tarif des frais judiciaires civils du 28 septembre 2010 ; BLV 270.11.5]), seront mis à la charge de l’appelant, qui succombe (art. 106 al. 1 CPC). Il n’y a pas lieu à l’allocation de dépens de deuxième instance, l’intimé n’ayant pas été invité à se déterminer sur l’appel.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