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649 vom 9. September 2025</w:t>
      </w:r>
    </w:p>
    <w:p>
      <w:r>
        <w:t>VD Tribunal cantonal, 2025-09-09, FR</w:t>
      </w:r>
    </w:p>
    <w:p>
      <w:r>
        <w:rPr>
          <w:b/>
        </w:rPr>
        <w:t xml:space="preserve">Quelle: </w:t>
      </w:r>
      <w:r>
        <w:t>https://mcp.opencaselaw.ch/entscheid/vd_findinfo_HC___2025___649</w:t>
      </w:r>
    </w:p>
    <w:p>
      <w:r>
        <w:t>FR: VD_FINDINFO HC / 2025 / 649 du 9 septembre 2025</w:t>
      </w:r>
    </w:p>
    <w:p>
      <w:r>
        <w:t>IT: VD_FINDINFO HC / 2025 / 649 del 9 settembre 2025</w:t>
      </w:r>
    </w:p>
    <w:p>
      <w:pPr>
        <w:pStyle w:val="Heading2"/>
      </w:pPr>
      <w:r>
        <w:t>Regeste</w:t>
      </w:r>
    </w:p>
    <w:p>
      <w:r>
        <w:t>MOTIVATION DE LA DEMANDE, ADMINISTRATION DES PREUVES, APPRÉCIATION ANTICIPÉE DES PREUVES, ACTION EN MODIFICATION, GARDE DE FAIT, OBLIGATION D'ENTRETIEN | 286 CC, 298d al. 1 CC</w:t>
      </w:r>
    </w:p>
    <w:p>
      <w:pPr>
        <w:pStyle w:val="Heading2"/>
      </w:pPr>
      <w:r>
        <w:t>Erwägungen</w:t>
      </w:r>
    </w:p>
    <w:p>
      <w:r>
        <w:rPr>
          <w:b/>
        </w:rPr>
        <w:t>E. 1</w:t>
      </w:r>
    </w:p>
    <w:p>
      <w:r>
        <w:t>let. a CPC), dans les causes non patrimoniales ( JdT 2015 III 237) ou patrimoniales dont la valeur litigieuse au dernier état des conclusions devant l’autorité précédente est de 10’000 fr. au moins (art. 308 aI.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et portant sur des conclusions non patrimoniales et patrimoniales, l’appel est recevable, indépendamment de la valeur litigieuse.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celle de l'autorité de première instance sans avoir à justifier de motifs particuliers (TF 4D_72/2017 du 19 mars 2018 consid. 2).</w:t>
      </w:r>
    </w:p>
    <w:p>
      <w:r>
        <w:rPr>
          <w:b/>
        </w:rPr>
        <w:t>E. 2.2</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En d’autres termes, l’appelant doit expliquer en quoi son argumentation peut influer sur la solution retenue par les premiers juges (TF 4A_474/2013 du 10 mars 2014 consid. 3.1 ; TF 5A_438/2012 du 27 août 2012 consid. 2.2, in RSPC 2013 p. 29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4A_168/2022 du 10 juin 2022 consid. 5.2 ; TF 4A_610/2018 du 29 août 2019 consid. 5.2.2.1 ; CACI 14 juillet 2025/311 consid. 2.2). Si la motivation de l'appel est identique aux moyens qui avaient déjà été présentés en première instance, avant la reddition de la décision attaquée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 cit.). Les exigences de motivation doivent aussi être observées dans les procédures soumises à la maxime inquisitoire illimitée (ATF 138 III 374 consid. 4.3.1 ; CACI 14 juillet 2025/311 consid. 2.2).</w:t>
      </w:r>
    </w:p>
    <w:p>
      <w:r>
        <w:rPr>
          <w:b/>
        </w:rPr>
        <w:t>E. 3</w:t>
      </w:r>
    </w:p>
    <w:p>
      <w:r>
        <w:t>Dans un grief qu'il convient d'examiner en premier, l’appelant se prévaut d'une violation de son droit d'être entendu « surtout » lors de l'audience de débats principaux du 25 avril 2024. Les éléments soulevés relèvent du déroulement de l'audience et de l'attitude de la présidente, sans toutefois que l’appelant n'expose un réel grief lié à son droit d'être entendu. Il n'évoque en particulier pas qu'il n'aurait pas pu se déterminer sur un élément soumis ou que sa parole aurait été empêchée. Par ailleurs, dans la mesure où il s'en prend à l’attitude de la présidente et au contenu du procès-verbal, il n'expose pas avoir requis une inscription au dit procès-verbal ou sa correction. Il n'allègue pas plus que le jugement serait entaché d'un biais. Dès lors, on ne décèle en réalité dans l'argumentation présentée, confuse, aucun grief correctement motivé, si bien que l'ensemble doit être déclaré irrecevable.</w:t>
      </w:r>
    </w:p>
    <w:p>
      <w:r>
        <w:rPr>
          <w:b/>
        </w:rPr>
        <w:t>E. 4.1.1</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 Compte tenu de leur devoir de collaboration, les parties doivent immédiatement informer l'autorité de tout fait nouveau susceptible d'influer la décision à prendre (TF 5A_541/2015 du 14 janvier 2016 consid. 5.2 ; TF 5A_22/2014 du 13 mai 2014 consid. 4.3). La maxime inquisitoire illimitée ne signifie donc pas que le juge doive recueillir d’office tous les éléments susceptibles d’influer sur la réglementation concernant les enfants (TF 5A_808/2012 du 29 août 2013 consid. 4.3.2). Dès lors, en vertu de l'art. 317 al. 1bis CPC entré en vigueur le 1 er janvier 2025 et directement applicable aux procédures en cours (art. 407f CPC), lorsque l'instance d'appel doit examiner les faits d'office, elle admet les faits et moyens de preuve nouveaux jusqu'aux délibérations.</w:t>
      </w:r>
    </w:p>
    <w:p>
      <w:r>
        <w:rPr>
          <w:b/>
        </w:rPr>
        <w:t>E. 4.1.2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CR-CPC, op. cit. ,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CR-CPC, op. cit. , n. 9 ad art. 316 CPC).</w:t>
      </w:r>
    </w:p>
    <w:p>
      <w:r>
        <w:rPr>
          <w:b/>
        </w:rPr>
        <w:t>E. 4.1.3</w:t>
      </w:r>
    </w:p>
    <w:p>
      <w:r>
        <w:t>Lorsque la procédure est soumise à la maxime inquisitoire illimitée et que les parties peuvent présenter des faits et moyens de preuve nouveaux jusqu’aux délibérations en application de l’art. 317 al. 1bis CPC, la question de la recevabilité des pièces produites en appel se pose néanmoins, eu égard au fait que l’art. 52 CPC impose aux parties d’agir conformément aux règles de la bonne foi (Juge déléguée CACI 22 janvier 2020/25 consid. 3.3, arrêt rendu alors que les conditions cumulatives restrictives de l’art. 317 al. 1 CPC ne s’appliquaient pas lorsque la maxime inquisitoire illimitée s’appliquait en présence d’enfants et qui demeure pertinent après l’entrée en vigueur de l’art. 317 al.1bis CPC le 1 er janvier 2025).</w:t>
      </w:r>
    </w:p>
    <w:p>
      <w:r>
        <w:rPr>
          <w:b/>
        </w:rPr>
        <w:t>E. 4.2</w:t>
      </w:r>
    </w:p>
    <w:p>
      <w:r>
        <w:t>L'appelant requiert la mise en oeuvre de nombreuses preuves, soit l'audition d'un éducateur de la DGEJ, du concubin de l'intimée, de celle-ci et de l'enfant [...]. Enfin, il requiert la production du dossier Al de l'intimée. S'agissant de l'audition de l'enfant et de l'éducateur de la DGEJ, [...] a déjà été entendue en première instance et la DGEJ a rédigé un rapport clair et précis relatif à sa prise en charge. L'appelant ne fait pas valoir d'éléments nouveaux justifiant de procéder aux auditions qu'il requiert. En particulier, les « tiraillements » qu'il évoque avec la planification des vacances ne relèvent pas de la prise en charge quotidienne et en particulier de la mise en place éventuelle d'une garde alternée, si bien que ce point, non abordé dans le jugement attaqué, sort du périmètre de l'appel. Quant à l'audition du concubin de l'intimée, elle est inutile comme on le verra ci-après (cf. infra consid. 6.4) dans la mesure où l'existence d'un concubinage est avérée mais que c'est son caractère qualifié qui doit être nié, ceci au jour du dépôt de la demande en modification de jugement de divorce. Enfin, il n'y a pas lieu de procéder à l'audition de l'intimée pour déterminer ses revenus éventuels d'indépendante, le grief de l’appelant à ce sujet étant rejeté (cf. infra consid. 6.3). La production du dossier Al ne relève en outre aucune pertinence dans la mesure où c'est la situation au jour du dépôt de la demande en modification qui est en l'espèce pertinente, les premiers juges ayant nié tout fait nouveau à ce titre (cf. infra consid. 6.4). Par surabondance, on relèvera que l’appelant n'indique pas avoir requis ces preuves en première instance sans pouvoir les obtenir. Il n'évoque pas plus pour quelles raisons il n'était pas en mesure de le faire, si bien qu'également sous cet angle, ses réquisitions peuvent être écartées.</w:t>
      </w:r>
    </w:p>
    <w:p>
      <w:r>
        <w:rPr>
          <w:b/>
        </w:rPr>
        <w:t>E. 4.3</w:t>
      </w:r>
    </w:p>
    <w:p>
      <w:r>
        <w:t>En annexe à son écriture, l’appelant produit un plan de recouvrement fiscal et quatre factures de l'école [...]. Ces pièces n'étant pas pertinentes pour la résolution du litige, leur recevabilité peut rester indécise.</w:t>
      </w:r>
    </w:p>
    <w:p>
      <w:r>
        <w:rPr>
          <w:b/>
        </w:rPr>
        <w:t>E. 5.1</w:t>
      </w:r>
    </w:p>
    <w:p>
      <w:r>
        <w:t>Aux termes de l’art. 298d CC, applicable par renvoi de l’art. 134 al. 2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5A_499/2023 du 26 février 2024 consid. 4.1 ; TF 5A_597/2022 du 7 mars 2023 consid. 3.3).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5A_499/2023 précité consid. 4.1 ; TF 5A_404/2023 du 13 juin 2023 consid. 2.1).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5A_800/2021 du 25 janvier 2022 consid. 5.1).</w:t>
      </w:r>
    </w:p>
    <w:p>
      <w:r>
        <w:rPr>
          <w:b/>
        </w:rPr>
        <w:t>E. 5.2</w:t>
      </w:r>
    </w:p>
    <w:p>
      <w:r>
        <w:t>L'appelant conclut à la mise en place d'une garde alternée. En substance, il fait valoir que les premiers juges auraient mal interprété les déclarations de [...], telles que rapportées par la DGEJ dans son rapport du 27 juillet 2023, que leur appréciation quant aux difficultés relationnelles et la communication entre les parties serait erronée dans la mesure où une telle communication existerait par écrit, qu'il disposerait des disponibilités nécessaires et que l'instauration d'une garde alternée – soit à le comprendre l'attribution en sa faveur d'une prise en charge supplémentaire un mercredi après-midi par mois – serait dans l'intérêt de l'enfant.</w:t>
      </w:r>
    </w:p>
    <w:p>
      <w:r>
        <w:rPr>
          <w:b/>
        </w:rPr>
        <w:t>E. 5.3</w:t>
      </w:r>
    </w:p>
    <w:p>
      <w:r>
        <w:t>Dans son argumentation, l’appelant omet que le motif principal pour lequel le tribunal a rejeté sa demande est qu'aucune modification des circonstances au jour du dépôt de la demande n'avait été alléguée par les parties. Or, il ne s'exprime aucunement sur ce point, contrairement à son devoir de motivation, ce qui pourrait suffire à sceller le sort de son grief. Cela étant, il convient de relever que les déclarations de l'enfant [...] sont claires, soit qu'elle est satisfaite du système actuellement en vigueur, et les circonvolutions argumentatives de l’appelant quant au fait que cela signifierait qu'elle serait disposée à ce que le droit de visite soit étendu sont pour le moins téméraires. On peine en outre à discerner de quelle manière il serait dans l'intérêt de l'enfant de lui imposer une modification d'une prise en charge dont elle se satisfait et l'intérêt personnel de l’appelant, qu'il professe, de pouvoir s'impliquer dans le suivi médical de l'enfant ne saurait le justifier. On précisera d'ailleurs que ni le jugement attaqué, ni l'argumentation de l’appelant ne permettent d'établir que le suivi médical de [...] serait plus important qu'usuel et justifierait, dans l'intérêt de l'enfant, un investissement particulier de l’appelant. Pour ce motif également, le grief de l’appelant ne peut être que rejeté. Enfin, l'argument tiré par l’appelant d'une communication suffisante entre les parties ne saurait être retenu. Une communication simplement écrite ne saurait être considérée comme idéale, comme il paraît le soutenir et les hypothèses évoquées quant à la capacité de l’appelant de faire appel à de l'aide en cas de conflit ne permettent pas de comprendre pour quelle raison il conviendrait de modifier un système convenant à l'enfant. En réalité, on perçoit chez l’appelant une volonté de faire admettre que le système de prise en charge actuel correspond à une garde alternée, ce que le jugement attaqué retient d'ailleurs, uniquement dans le but de faire modifier les contributions d'entretien. Or, il peut être rappelé d'ores et déjà qu'il ne suffirait pas d'une prise en charge légèrement différente pour que l'on admette une modification des implications financières, les parties ayant convenu, en toute connaissance de cause, un mode de prise en charge et des pensions dans leur convention de divorce.</w:t>
      </w:r>
    </w:p>
    <w:p>
      <w:r>
        <w:rPr>
          <w:b/>
        </w:rPr>
        <w:t>E. 6.1</w:t>
      </w:r>
    </w:p>
    <w:p>
      <w:r>
        <w:t>Dans plusieurs griefs subséquents qu'il convient de traiter conjointement, l’appelant s'en prend à l'appréciation des premiers juges quant à la situation de l'intimée.</w:t>
      </w:r>
    </w:p>
    <w:p>
      <w:r>
        <w:rPr>
          <w:b/>
        </w:rPr>
        <w:t>E. 6.2</w:t>
      </w:r>
    </w:p>
    <w:p>
      <w:r>
        <w:t>II leur reproche tout d'abord de ne pas avoir retenu un revenu hypothétique pour l'intimée. En dehors d'évoquer des principes généraux et de faire état de son opinion sur certains éléments circonstanciels, tel que l’enfant étant âgé de 12 ans, l’on pourrait exiger de l’intimée qu’elle travaille à 100 %, l’appelant n'expose aucunement sur quels éléments un revenu hypothétique aurait dû être pris en compte au jour du dépôt de la demande en modification de jugement de divorce. En particulier, il n'allègue ni n'établit que l'augmentation des revenus de l'intimée était un élément convenu lors du jugement de divorce. On ne trouve pas plus d'indication quant au fait que l'absence d'évolution du revenu de l'intimée constituerait une forme d'abus de droit. En réalité, le grief ne comporte aucune motivation admissible et doit être déclaré irrecevable.</w:t>
      </w:r>
    </w:p>
    <w:p>
      <w:r>
        <w:rPr>
          <w:b/>
        </w:rPr>
        <w:t>E. 6.3</w:t>
      </w:r>
    </w:p>
    <w:p>
      <w:r>
        <w:t>Dans un autre grief, l’appelant soutient que les premiers juges auraient dû prendre en compte des revenus complémentaires pour l'intimée tiré d'une activité indépendante relative à la vente de produits [...]. Le jugement attaqué retient à ce titre que l'instruction a établi que les versements par Twint dont a bénéficié l'intimée provenaient de son compagnon à titre de remboursement pour des frais de bouche et de toit. L'indication « [...]» figurait pour ces versements, sans toutefois que cela prouve que l'intimée exerçait une activité accessoire pour cette société, l'instruction n'ayant pas démontré l'existence d'autres versements en lien avec une activité accessoire. L'appelant évoque avoir, en première instance, démontré l'existence de transactions enregistrées sur le compte bancaire de l'intimée, plusieurs fois par mois, représentant des versements par Twint – dont les montants seraient variables mais récurrents, soit 1’650 fr. par mois en moyenne entre avril 2021 et décembre 2022. En outre, ceux-ci ne correspondraient pas aux captures d'écran produites par l'intimée, ce qui démontrerait que celle-ci cache quelque chose. L'appelant se fonde sur des faits qui ne figurent pas dans le jugement attaqué, sans toutefois faire valoir de griefs motivés visant à le compléter. En outre, l’appelant, s'il évoque que les captures d'écran produites ne correspondraient pas aux versements figurant sur des décomptes bancaires, ne procède pas à une démonstration concrète en se référant à des éléments prouvés, respectivement en indiquant exactement quels seraient les éléments discordants. Il se contente en réalité de propos très généraux alors qu'il n'appartient pas à la Cour de céans de procéder à un examen de l'ensemble du dossier en tentant de déterminer ce sur quoi l’appelant entendait se fonder. Enfin, il ne démontre pas que les versements dont il se prévaut ne correspondraient pas à des remboursements de frais de bouche et de toit, comme l'a retenu le tribunal, alors même qu'une telle preuve lui appartient. Dans ces conditions, le grief ne peut qu'être écarté, pour autant que recevable.</w:t>
      </w:r>
    </w:p>
    <w:p>
      <w:r>
        <w:rPr>
          <w:b/>
        </w:rPr>
        <w:t>E. 6.4</w:t>
      </w:r>
    </w:p>
    <w:p>
      <w:r>
        <w:t>Enfin, l'appelant s'en prend à l'appréciation des premiers juges quant au fait que l'intimée vivrait en concubinage qualifié. A ce titre, il fait valoir que cette dernière et son compagnon se fréquentaient et avaient une relation sentimentale déjà ancienne avant d'emménager ensemble à l'été 2021, ce qui impliquait que leurs ressources et charges financières soient mutualisées dès ce moment. Dans la mesure où l’intimée aurait cessé de travailler peu de temps après avoir emménagé avec son compagnon, il convenait d’en déduire que celui-ci assumait l'ensemble des charges. A nouveau, l’appelant se réfère à des faits non seulement ne figurant pas dans le jugement attaqué mais en contradiction directe avec ceux qui y sont mentionnés. En effet, les premiers juges ont retenu que l'intimée travaillait au jour du rendu du jugement. Au demeurant, l’appelant omet volontairement de se référer aux conditions fixées par la jurisprudence pour retenir un concubinage qualifié, soit l'existence d'une communauté de vie d'une certaine durée, voire durable, présentant tant une composante spirituelle, corporelle qu'économique et pouvant aussi être décrite comme une communauté de toit, de table et de lit (TF 5A_127/2023 du 24 avril 2024 consid. 3.2 et les réf. cit.). Or, en l'espèce, l’appelant ne démontre aucunement qu'au jour du dépôt de la demande de modification de jugement de divorce, soit le 22 juillet 2021, une telle communauté unissait l'intimée et son compagnon, preuve lui appartenant ( ibidem ). Il n'expose pas plus que cette communauté aurait été durable, soit aurait correspondu aux critères temporels de la jurisprudence (cf. TF 5A_127/2023 du 24 avril 2024 précité). L'argument ne peut donc qu'être écarté. Il n'en va pas différemment du grief subsidiaire de l’appelant, relatif à l'existence au jour du dépôt de l'appel d'un tel concubinage. Dans la mesure où celui-ci n'existait pas au jour du dépôt de la demande, il importe en réalité peu de déterminer si tel est le cas aujourd'hui.</w:t>
      </w:r>
    </w:p>
    <w:p>
      <w:r>
        <w:rPr>
          <w:b/>
        </w:rPr>
        <w:t>E. 7.1</w:t>
      </w:r>
    </w:p>
    <w:p>
      <w:r>
        <w:t>L'appelant critique encore l'appréciation des premiers juges quant à sa propre situation financière.</w:t>
      </w:r>
    </w:p>
    <w:p>
      <w:r>
        <w:rPr>
          <w:b/>
        </w:rPr>
        <w:t>E. 7.2</w:t>
      </w:r>
    </w:p>
    <w:p>
      <w:r>
        <w:t>Dans un premier temps, l’appelant fait valoir que le jugement attaqué ne retient pas à tort dans ses charges ses dettes, dont la source se trouverait dans les circonstances du divorce. A nouveau, l’appelant se contente de présenter sa propre position en se fondant sur des faits non retenus dans le jugement. Ceux-ci ne font l'objet d'aucune indication quant aux preuves produites au dossier qui permettraient de les étayer et encore moins d'un quelconque grief visant à les introduire dans l'état de fait. Si la présente cause est soumise à la maxime inquisitoire illimitée (cf. supra consid. 4.1.1), celle-ci ne réduit pas les exigences quant à la motivation des griefs (cf. supra consid. 2.2), si bien que l'ensemble du grief doit être déclaré irrecevable. Au surplus, l’appelant n'indique pas en quoi la prise en compte de ces dettes pourrait constituer un fait nouveau au sens de l'art. 286 al. 2 CC et ainsi ouvrir la voie à un nouveau calcul de ses charges et revenus.</w:t>
      </w:r>
    </w:p>
    <w:p>
      <w:r>
        <w:rPr>
          <w:b/>
        </w:rPr>
        <w:t>E. 7.3</w:t>
      </w:r>
    </w:p>
    <w:p>
      <w:r>
        <w:t>L'appelant fait ensuite valoir qu'il assumerait déjà de nombreuses dépenses de l'enfant [...], telles que des frais liés aux loisirs et activités extrascolaires, comme le « mermaiding », les cours d'arabe ou les voyages au [...]. Il financerait également des vêtements, l'UAPE et la cantine. L'appelant ne soutient pas que le fait qu'il assume de telles charges constituerait un fait nouveau, si bien qu'il importe en réalité peu de se prononcer sur son grief, qui peut être écarté. On relèvera cependant que la prise en charge de loisirs doit être couverte par l'excédent et non intégré aux charges de l'enfant ou du parent concerné (ATF 147 III 265, JdT 2022 II 347 ; TF 5A_447/2023 du 16 juillet 2024 consid. 7.1) et que les frais de vêtements, d'UAPE ou de cantine, sont manifestement assumés volontairement par l’appelant si bien que l'on ne perçoit pas qu'ils doivent être source d'une réduction de la contribution d'entretien en faveur de l'enfant. En tous les cas, l’appelant ne démontre pas que tel devrait être le cas, par exemple ensuite d'un accord des parties.</w:t>
      </w:r>
    </w:p>
    <w:p>
      <w:r>
        <w:rPr>
          <w:b/>
        </w:rPr>
        <w:t>E. 7.4</w:t>
      </w:r>
    </w:p>
    <w:p>
      <w:r>
        <w:t>Enfin, l’appelant expose que le calcul de ses revenus serait erroné, celui retenu par les premiers juges intégrant une prime COVID temporaire d'un montant de 800 à 900 fr. par mois. Non seulement le grief formulé est indigent, dans la mesure où l’appelant ne démontre même pas à quelle période la prime litigieuse aurait été concrètement versée, mais surtout une telle correction ne comporte aucune pertinence dans la mesure où aucun fait nouveau n'impose de calculer l'ensemble de la situation financière des parties. Le grief ne peut qu'être écarté.</w:t>
      </w:r>
    </w:p>
    <w:p>
      <w:r>
        <w:rPr>
          <w:b/>
        </w:rPr>
        <w:t>E. 8</w:t>
      </w:r>
    </w:p>
    <w:p>
      <w:r>
        <w:t>Dans un grief intitulé « Divers », l’appelant égrène différents éléments de fait, non retenus dans le jugement et sans même produire de documents y relatifs, pour aboutir encore une fois à la conclusion que l'intimée serait entièrement entretenue par son compagnon. On rappellera que le jugement entrepris retient que celle-ci travaille et réalise donc un revenu. L'appelant persiste toutefois à ne pas tenir compte de cet élément, si bien que son grief est pour le moins insuffisamment motivé et ne peut qu’être déclaré irrecevable.</w:t>
      </w:r>
    </w:p>
    <w:p>
      <w:r>
        <w:rPr>
          <w:b/>
        </w:rPr>
        <w:t>E. 9</w:t>
      </w:r>
    </w:p>
    <w:p>
      <w:r>
        <w:t>Il résulte de ce qui précède que l'appel, manifestement infondé, doit être rejeté dans la mesure de sa recevabilité, selon la procédure de l'art. 312 al. 1 in fine CPC. Les frais judiciaires de deuxième instance, arrêtés à 1'200 fr. (art. 63 al. 2 TFJC [tarif des frais judiciaires civils du 28 septembre 2010 ; BLV 270.11.5]), seront mis à la charge de l’appelant qui succombe (art. 106 al. 1 CPC). L’intimée n’ayant pas été invitée à se déterminer, il ne se justifie pas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