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616 vom 28. Juli 2025</w:t>
      </w:r>
    </w:p>
    <w:p>
      <w:r>
        <w:t>VD Tribunal cantonal, 2025-07-28, FR</w:t>
      </w:r>
    </w:p>
    <w:p>
      <w:r>
        <w:rPr>
          <w:b/>
        </w:rPr>
        <w:t xml:space="preserve">Quelle: </w:t>
      </w:r>
      <w:r>
        <w:t>https://mcp.opencaselaw.ch/entscheid/vd_findinfo_HC___2025___616</w:t>
      </w:r>
    </w:p>
    <w:p>
      <w:r>
        <w:t>FR: VD_FINDINFO HC / 2025 / 616 du 28 juillet 2025</w:t>
      </w:r>
    </w:p>
    <w:p>
      <w:r>
        <w:t>IT: VD_FINDINFO HC / 2025 / 616 del 28 luglio 2025</w:t>
      </w:r>
    </w:p>
    <w:p>
      <w:pPr>
        <w:pStyle w:val="Heading2"/>
      </w:pPr>
      <w:r>
        <w:t>Regeste</w:t>
      </w:r>
    </w:p>
    <w:p>
      <w:r>
        <w:t>ADMISSION DE LA DEMANDE, AMENDE | 128 al. 4 CPC (CH)</w:t>
      </w:r>
    </w:p>
    <w:p>
      <w:pPr>
        <w:pStyle w:val="Heading2"/>
      </w:pPr>
      <w:r>
        <w:t>Erwägungen</w:t>
      </w:r>
    </w:p>
    <w:p>
      <w:r>
        <w:rPr>
          <w:b/>
        </w:rPr>
        <w:t>E. 1</w:t>
      </w:r>
    </w:p>
    <w:p>
      <w:r>
        <w:t>La voie du recours est ouverte contre les amendes disciplinaires (art. 128 al. 4 CPC). Le recours, écrit et motivé, est introduit auprès de l'instance de recours, en l'occurrence la Chambre des recours civile (art. 73 al. 1 LOJV [loi d'organisation judiciaire du 12 décembre 1979 ; BLV 173.01]) dans les 30 jours à compter de la notification de la décision motivée ou de la notification postérieure de la motivation (art. 321 al. 1 CPC). En l'espèce, interjeté en temps utile par une partie qui a un intérêt digne de protection (art. 59 al. 2 let. a CPC), le recours est recevable.</w:t>
      </w:r>
    </w:p>
    <w:p>
      <w:r>
        <w:rPr>
          <w:b/>
        </w:rPr>
        <w:t>E. 2</w:t>
      </w:r>
    </w:p>
    <w:p>
      <w:r>
        <w:t>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w:t>
      </w:r>
    </w:p>
    <w:p>
      <w:r>
        <w:rPr>
          <w:b/>
        </w:rPr>
        <w:t>E. 3.1</w:t>
      </w:r>
    </w:p>
    <w:p>
      <w:r>
        <w:t>La recourante conteste le principe de l’amende. Elle rappelle qu’elle a requis le report de l’audience du 24 juin 2025 et qu’elle a expliqué les raisons pour lesquelles elle ne pouvait pas être représentée à cette occasion.</w:t>
      </w:r>
    </w:p>
    <w:p>
      <w:r>
        <w:rPr>
          <w:b/>
        </w:rPr>
        <w:t>E. 3.2</w:t>
      </w:r>
    </w:p>
    <w:p>
      <w:r>
        <w:t>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En application des principes de la proportionnalité (art. 5 al. 2 Cst.) et de la bonne foi (art.</w:t>
      </w:r>
    </w:p>
    <w:p>
      <w:r>
        <w:rPr>
          <w:b/>
        </w:rPr>
        <w:t>E. 3.3</w:t>
      </w:r>
    </w:p>
    <w:p>
      <w:r>
        <w:t>En l’espèce, en dépit de ce qui a été retenu par le président, il ne ressort aucunement du dossier que la recourante aurait fait défaut lors d’une précédente audience. Par ailleurs, pour justifier le prononcé de l’amende disciplinaire en question, le président s’est fondé sur une disposition légale non pertinente, appliquant l’art. 149 CPC (qui traite de la procédure en matière de restitution) en lieu et place de l’art. 128 CPC. Cela étant, conformément à la jurisprudence, il y a deux conditions cumulatives à l’amende du défaillant ; il doit être défaillant sans excuse et il doit avoir été averti des conséquences d’un défaut (ATF 141 III 265). Or, la recourante a immédiatement écrit, à réception de la citation à comparaître, que celle-ci ne pourrait pas être représentée à l’audience du 24 juin 2025, et à nouveau pour expliquer pourquoi son administrateur [...] devait comparaitre personnellement à l’audience. De plus, la recourante n’a jamais été informée des conséquences d’un défaut. Aucune des conditions susmentionnées n’étant remplies, l’amende doit être annulée. 4. Au vu de ce qui précède, le recours doit être admis et la décision entreprise réformée en ce sens que l’amende disciplinaire est annulée. Le présent arrêt peut être rendu sans frais judiciaires (art. 11 TFJC [tarif des frais judiciaires civils du 28 septembre 2010 ; BLV 270.11.5]). N'étant pas concernés par l’amende, Q.________ et S.________ ne sont pas intimés au recours et n'ont donc pas été interpellés sur le sort de celui-ci, ce qui exclut l'allocation de dépens. Par ces motifs, la Chambre des recours civile du Tribunal cantonal, prononce : I. Le recours est admis. II. La décision est réformée en ce sens que l’amende disciplinaire est annulée. III. L’arrêt, rendu sans frais, est exécutoire. La présidente :               Le greffier : Du L'arrêt qui précède, dont la rédaction a été approuvée à huis clos, est notifié à : ‑ E.________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d’Aigle. Le greffier :</w:t>
      </w:r>
    </w:p>
    <w:p>
      <w:r>
        <w:rPr>
          <w:b/>
        </w:rPr>
        <w:t>E. 5</w:t>
      </w:r>
    </w:p>
    <w:p>
      <w:r>
        <w:t>al. 3 Cst. et art. 52 CPC), ainsi que pour respecter le droit d'être entendu de la personne visée par une mesure disciplinaire (art. 29 al. 2 Cst.), cette dernière doit être rendue attentive à la menace qui pèse sur elle avant qu'une telle mesure ne soit prononcée à son encontre (ATF 141 III 265 consid. 5.2 ; TF 4A_502/2014 du 9 juillet 2015 ; TF 4A_664/2014 du 10 juillet 2015). Dans l'ATF 141 III 265, le Tribunal fédéral a admis que les mesures disciplinaires prévues par l'art. 128 CPC puissent être prononcées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(CREC 17 juin 2016/219).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