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615 vom 12. August 2025</w:t>
      </w:r>
    </w:p>
    <w:p>
      <w:r>
        <w:t>VD Tribunal cantonal, 2025-08-12, FR</w:t>
      </w:r>
    </w:p>
    <w:p>
      <w:r>
        <w:rPr>
          <w:b/>
        </w:rPr>
        <w:t xml:space="preserve">Quelle: </w:t>
      </w:r>
      <w:r>
        <w:t>https://mcp.opencaselaw.ch/entscheid/vd_findinfo_HC___2025___615</w:t>
      </w:r>
    </w:p>
    <w:p>
      <w:r>
        <w:t>FR: VD_FINDINFO HC / 2025 / 615 du 12 août 2025</w:t>
      </w:r>
    </w:p>
    <w:p>
      <w:r>
        <w:t>IT: VD_FINDINFO HC / 2025 / 615 del 12 agosto 2025</w:t>
      </w:r>
    </w:p>
    <w:p>
      <w:pPr>
        <w:pStyle w:val="Heading2"/>
      </w:pPr>
      <w:r>
        <w:t>Regeste</w:t>
      </w:r>
    </w:p>
    <w:p>
      <w:r>
        <w:t>EFFET SUSPENSIF, ADMISSION DE LA DEMANDE, OBLIGATION D'ENTRETIEN, PAIEMENT DE L'ARRIÉRÉ | 315 al. 2 let. b CPC (CH), 315 al. 4 let. b CPC (CH)</w:t>
      </w:r>
    </w:p>
    <w:p>
      <w:pPr>
        <w:pStyle w:val="Heading2"/>
      </w:pPr>
      <w:r>
        <w:t>Volltext</w:t>
      </w:r>
    </w:p>
    <w:p>
      <w:r>
        <w:t>Vaud Tribunal cantonal Cour d'appel civile HC / 2025 / 615</w:t>
      </w:r>
    </w:p>
    <w:p>
      <w:r>
        <w:t>EFFET SUSPENSIF, ADMISSION DE LA DEMANDE, OBLIGATION D'ENTRETIEN, PAIEMENT DE L'ARRIÉRÉ | 315 al. 2 let. b CPC (CH), 315 al. 4 let. b CPC (CH)</w:t>
      </w:r>
    </w:p>
    <w:p>
      <w:r>
        <w:t>TRIBUNAL CANTONAL JI25.013328-250995 ES78 cour d’appel CIVILE ____________________________ Ordonnance du 12 août 2025 ________________________________ Composition :               Mme Elkaim , juge unique Greffière :              Mme Ayer ***** Art. 315 al. 2 let. b et al. 4 let. b CPC Statuant sur la requête présentée par H.________ , à [...], intimé, tendant à l’octroi de l’effet suspensif à l’appel qu’il a interjeté contre l’ordonnance de mesures provisionnelles rendue le 30 juillet 2025 par le Président du Tribunal civil de l’arrondissement de La Côte dans la cause le divisant d’avec G.________ , à [...], requérante, la Juge unique de la Cour d’appel civile du Tribunal cantonal considère : En fait et en droit : 1. H.________ et G.________ sont les parents non mariés des enfants A.K.________, né le [...], B.K.________, née le [...], et C.K.________, née le [...]. 2. Par ordonnance de mesures provisionnelles du 30 juillet 2025, le Président du Tribunal civil de l’arrondissement de La Côte (ci-après : le président ou le premier juge) a notamment confié la garde des enfants A.K.________, B.K.________ et C.K.________ à leur mère, auprès de laquelle ils seront domiciliés (I), a confirmé le chiffre IV de l’ordonnance de mesures superprovisionnelles du 13 juin 2025, tel que modifié par ordonnance de mesures superprovisionnelles du 2 juillet 2025, interdisant à H.________ de se rendre au logement commun sis [...] à [...], sous la menace de la peine d’amende en cas d’insoumission à une décision de l’autorité prévue à l’art. 292 CP (Code pénal suisse ; RS 311.0) (VII), a dit que H.________ contribuerait à l’entretien de ses enfants par le régulier versement d’une pension de 340 fr. par enfant, éventuelles allocations familiales dues en sus, payable d’avance le premier de chaque mois en mains de G.________, dès et y compris le 1 er mai 2025, sous déduction des éventuels montants déjà versés à ce titre (VIII) et a dit que le montant assurant l’entretien convenable des enfants, allocations familiales par 303 fr. déduites, était arrêté à 608 fr. 70 par enfant et par mois dès le 1 er janvier 2026 (IX). 3. Par acte du 11 août 2025, H.________ (ci-après : le requérant) a interjeté appel de cette ordonnance, avec requête d’effet suspensif, en ce sens que l’exécution du chiffre VIII de ladite ordonnance soit suspendu jusqu’à droit connu sur l’appel. G.________ (ci-après : l’intimée) n’a pas été invitée à se déterminer. 4. 4.1 4.1.1 Aux termes de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 4.1.2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27 novembre 2024/ES101 consid. 4.1.2.2).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 er avril 2025/ES32 consid. 4.1.2 ; Juge unique CACI 27 février 2025/ES19 consid. 5.1.2), cette pratique n’ayant toutefois aucune portée normative (TF 5A_83/2023 du 15 août 2023).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 4.2 4.2.1 En l’espèce, le requérant fait valoir que le premier juge n’a pas tenu compte de frais de loyer lui permettant de se reloger. Au surplus, il reproche au président d’avoir intégré dans ses charges les frais de logement – déduits de son salaire – et d’électricité dont il est débiteur pour l’appartement occupé par l’intimée et les trois enfants des parties, violant de ce fait son minimum vital. 4.2.2 En ce qui concerne les contributions d’entretien courantes et futures, on relèvera tout d’abord que le requérant n’allègue ni ne démontre s’être constitué un domicile séparé augmentant le montant effectif total de ses charges mensuelles, rendant la modification des contributions d’entretien prématurée à ce stade. S’agissant de la prise en charge des frais du logement occupé par l’intimée et les enfants, ainsi que les frais d’électricité y afférant, ces questions excèdent manifestement l’examen sommaire auquel doit se limiter la Juge de céans, qui ne saurait se livrer à leur analyse sauf à préjuger de l’issue d’une substantielle partie de l’appel. Par ailleurs, et sans préjuger des griefs de l’appel, le requérant se contente d’affirmer que le paiement des contributions d’entretien courante et futures violerait l’intangibilité de son minimum vital sans le démonter et n’argue pas que le recouvrement du montant acquitté paraîtrait aléatoire en raison de la solvabilité douteuse de l’intimée. Par conséquent, le requérant ne démontre pas subir un préjudice difficilement réparable. Il convient dès lors de rejeter la requête d’effet suspensif pour les contributions d’entretien courantes et futures. L’effet suspensif sera en revanche admis en ce qui concerne l’arriéré des contributions d’entretien accumulé depuis le 1 er mai 2025. Cet arriéré ne constitue en effet qu’une dette et l’intimée dispose actuellement d’une situation financière excédentaire. Par conséquent, compte tenu de la règle jurisprudentielle rappelée ci-dessus (cf. supra consid. 4.1.2), et sans préjuger le fond du litige, l’intérêt du requérant à une suspension de l’exécution de l’ordonnance s’agissant des arriérés de pensions l’emporte sur celui de l’intimée à en obtenir immédiatement le versement. 5. En définitive, la requête d’effet suspensif doit être partiellement admise en ce sens que, jusqu’à droit connu sur l’appel, l’exécution du chiffre VIII du dispositif de l’ordonnance entreprise est suspendue en ce qui concerne les contributions d’entretien échues du 1 er mai 2025 au 31 août 2025. La requête d’effet suspensif est rejetée pour le surplus, soit s’agissant des contributions d’entretien à verser dès le 1 er septembre 2025. Il sera statué sur les frais judiciaires et les dépens dans le cadre de l’arrêt sur appel à intervenir (cf. art. 104 al. 3 CPC). Par ces motifs, la Juge unique de la Cour d’appel civile, prononce : I. La requête d’effet suspensif est partiellement admise. II. L’exécution du chiffres VIII du dispositif de l’ordonnance de mesures provisionnelles rendue le 30 juillet 2025 par le Président du Tribunal civil de l’arrondissement de La Côte est suspendue jusqu’à droit connu sur l’appel en ce qui concerne les contributions d’entretien échues du 1 er mai 2025 au 31 août 2025. III. Il sera statué sur les frais judiciaires et les dépens de la présente ordonnance dans le cadre de l’arrêt sur appel à intervenir. La juge unique :               La greffière : Du La présente ordonnance, dont la rédaction a été approuvée à huis clos, est notifiée à : ‑ Me Jean-Lou Maury (pour H.________), ‑ Me David Trajilovic (pour G.________),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