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605 vom 8. August 2025</w:t>
      </w:r>
    </w:p>
    <w:p>
      <w:r>
        <w:t>VD Tribunal cantonal, 2025-08-08, FR</w:t>
      </w:r>
    </w:p>
    <w:p>
      <w:r>
        <w:rPr>
          <w:b/>
        </w:rPr>
        <w:t xml:space="preserve">Quelle: </w:t>
      </w:r>
      <w:r>
        <w:t>https://mcp.opencaselaw.ch/entscheid/vd_findinfo_HC___2025___605</w:t>
      </w:r>
    </w:p>
    <w:p>
      <w:r>
        <w:t>FR: VD_FINDINFO HC / 2025 / 605 du 8 août 2025</w:t>
      </w:r>
    </w:p>
    <w:p>
      <w:r>
        <w:t>IT: VD_FINDINFO HC / 2025 / 605 del 8 agosto 2025</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protectrices de l’union conjugale étant régies par la procédure sommaire et relevant d’un litige du droit de la famille au sens de l’art. 271 CPC, le délai pour l’introduction de l’appel et le dépôt de la réponse est de trente jours (art. 314 al. 2 CPC, entré en vigueur le 1 er janvier 2025).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ayant un intérêt digne de protection (art. 59 al.</w:t>
      </w:r>
    </w:p>
    <w:p>
      <w:r>
        <w:rPr>
          <w:b/>
        </w:rPr>
        <w:t>E. 2</w:t>
      </w:r>
    </w:p>
    <w:p>
      <w:r>
        <w:t>let. a CPC) contre une ordonnance de mesures protectrices de l'union conjugale, l’appel, portant sur des conclusions non pécuniaires,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(TF 4A_318/2023 du 14 juillet 2023 consid. 2.3 et les références citées).</w:t>
      </w:r>
    </w:p>
    <w:p>
      <w:r>
        <w:rPr>
          <w:b/>
        </w:rPr>
        <w:t>E. 2.2</w:t>
      </w:r>
    </w:p>
    <w:p>
      <w:r>
        <w:t>L’autorité judiciaire qui se prononce sur des mesures provisionnelles statue en application de la procédure sommaire (art. 271 let. a et 276 al. 1 CPC) et peut se limiter à la simple vraisemblance des faits, après une administration limitée des preuves (TF 5A_143/2024 du 11 septembre 2024 consid. 6 et les références citées), en se fondant sur les moyens de preuve immédiatement disponibles (TF 5A_83/2023 du 17 décembre 2024 consid. 4.4 et les références citées).</w:t>
      </w:r>
    </w:p>
    <w:p>
      <w:r>
        <w:rPr>
          <w:b/>
        </w:rPr>
        <w:t>E. 3.1</w:t>
      </w:r>
    </w:p>
    <w:p>
      <w:r>
        <w:t>L’appelant estime que la suspension son droit de visite à l’égard de son fils constitue une mesure trop incisive qui va à l’encontre des intérêts de C.________ et mettrait un peu plus à mal la reprise des contacts entre eux. Bien qu’il reconnaisse que cette mesure ait été préconisée par l’expert, elle s’avère selon lui disproportionnée dans la mesure où le maintien d’un droit de visite pourrait s’effectuer de manière médiatisée en parallèle des thérapies recommandées. L’appelant relève qu’il s’est engagé à suivre celles-ci et que tant les mesures éducatives que les moyens de contrôle mis en place, notamment par le biais de la mesure de curatelle de surveillance des relations personnelles, permettront de s’assurer de l’évolution de ses enfants et proposer des adaptations de son droit de visite en cas de besoin.</w:t>
      </w:r>
    </w:p>
    <w:p>
      <w:r>
        <w:rPr>
          <w:b/>
        </w:rPr>
        <w:t>E. 3.2</w:t>
      </w:r>
    </w:p>
    <w:p>
      <w:r>
        <w:t>La première juge s’est ralliée à l’avis exprimé par l’expert. Elle a ainsi estimé qu’il était nécessaire de suspendre à ce stade le droit de visite de l’appelant sur son fils et de prévoir que la reprise de leurs contacts s’effectue dans un premier temps par l’intermédiaire des Boréales, étant précisé qu’en cas de retour positif, le droit de visite médiatisé entre C.________ et son père dans un cadre sécurisant et contrôlé pourrait être envisagé.</w:t>
      </w:r>
    </w:p>
    <w:p>
      <w:r>
        <w:rPr>
          <w:b/>
        </w:rPr>
        <w:t>E. 3.3.1</w:t>
      </w:r>
    </w:p>
    <w:p>
      <w:r>
        <w:t>L’art. 273 al. 1 CC prévoit que le parent non-détenteur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mais aussi comme un droit de la personnalité de l'enfant, dont il doit en premier lieu servir l’intérêt (TF 5A_268/2023 du 19 septembre 2023 consid. 3.1.2). Le droit aux relations personnelles vise à sauvegarder le lien existant entre parents et enfants. Les relations personnelles permettent aux père et mère non-gardiens de participer au développement de l’enfant malgré l’absence de communauté domestique, et à l’enfant de maintenir un contact avec ses deux parents (Meier/Stettler, Droit de la filiation, 6 e éd., 2019, n. 965, p. 616). Le Tribunal fédéral relève à cet égard qu’il est unanimement reconnu que le rapport de l’enfant avec ses deux parents est essentiel et qu’il peut jouer un rôle décisif dans le processus de recherche d’identité de l’enfant (TF 5A_398/2022 du 29 novembre 2022 consid 7.1 et les références citées).</w:t>
      </w:r>
    </w:p>
    <w:p>
      <w:r>
        <w:rPr>
          <w:b/>
        </w:rPr>
        <w:t>E. 3.3.2</w:t>
      </w:r>
    </w:p>
    <w:p>
      <w:r>
        <w:t>L'importance et le mode d'exercice des relations personnelles doivent être appropriés à la situation, autrement dit tenir équitablement compte des circonstances particulières du cas. Le bien de l'enfant est le facteur d'appréciation le plus important (TF 5A_398/2022 ibidem ) et dans chaque cas, la décision doit donc être prise de manière à répondre le mieux possible à ses besoins (TF 5A _739/2023 du 26 mars 2024 consid. 6.1 et les références citées), l'intérêt des parents étant relégué à l'arrière-plan (TF 5A_389/2022 du 29 novembre 2022 consid. 7.1).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précité consid. 7.1).</w:t>
      </w:r>
    </w:p>
    <w:p>
      <w:r>
        <w:rPr>
          <w:b/>
        </w:rPr>
        <w:t>E. 3.3.3</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5A_95/2023 du 17 juillet 2023 consid. 4.2.1). Il y a danger pour le bien de l'enfant, au sens de cette disposition, si son développement physique, moral ou psychique est menacé par la présence même limitée du parent qui n'a pas l'autorité parentale (TF 5A_51/2025 du 1 er avril 2024 consid. 3.2.2 et les références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Conformément au principe de proportionnalité, il importe en outre que cette menace ne puisse être écartée par d'autres mesures appropriées (TF 5A_842/2020 du 14 octobre 2021 consid. 5.1 et les références citées).</w:t>
      </w:r>
    </w:p>
    <w:p>
      <w:r>
        <w:rPr>
          <w:b/>
        </w:rPr>
        <w:t>E. 3.4.1</w:t>
      </w:r>
    </w:p>
    <w:p>
      <w:r>
        <w:t>En l’occurrence, la première juge a rappelé que le droit de visite de l’appelant sur son fils avait précédemment été médiatisé par l’intermédiaire du service Trait d’Union de la Croix-Rouge vaudoise, que C.________ avait catégoriquement refusé de voir son père dans ce cadre et que les visites n’avaient ainsi pas pu avoir lieu. Elle a également relevé que l’expert avait examiné la dynamique familiale et constaté que les accusations de violences conjugales de l’intimée contre l’appelant – contestées par celui-ci – étaient au cœur du conflit et qu’il avait précisé que si l’appelant montrait un attachement marqué pour ses enfants et qu'il s'impliquait dans leur suivi scolaire, il avait cependant des difficultés à comprendre leurs besoins émotionnels, surtout s'agissant de C.________, et présentait un certain nombre de limites significatives de nature à nuire à la création d'un environnement familial sécurisé et équilibré, voire à exacerber les tensions existantes, notamment une rigidité éducative, une tendance à projeter ses préoccupations sur son épouse, un manque de nuance dans l'appréhension de la situation familiale, une incapacité à reconnaître ses propres failles dans ses capacités éducatives et conjugales ou encore une tendance à minimiser les accusations de violence et à maintenir un contrôle strict. La première juge a souligné que dans le cadre de l’analyse faite par l’expert des interactions entre l’appelant et C.________, celui-ci avait constaté qu’elles étaient tendues, observant des signes de rejet manifestés par l’enfant. Elle a rappelé les conclusions de l’expert qui, bien que préconisant que l’appelant soit mis au bénéfice d’un droit de visite médiatisé sur son fils, accompagné d’une évaluation continue en vue d’un éventuel élargissement de celui-ci, avait toutefois précisé qu’il était actuellement nécessaire de suspendre temporairement les relations père-fils pour permettre une reprise de contact entre eux par le biais d’une thérapie à effectuer auprès des Boréales. Quant au bilan du 9 juillet 2024 de la DGEJ, la première juge a constaté que, bien qu’il ait préconisé la mise en place d’une thérapie aux Boréales entre l’appelant et son fils et l’instauration de visites médiatisées auprès d’Espace Contact, il en ressortait que C.________ était très en colère contre son père et qu'il avait affirmé ne plus vouloir avoir à faire avec lui, prétendant qu'il lui avait fait trop de mal par le passé sans toutefois donner de faits concrets. La première juge a ensuite précisé que les parties avaient eu l’occasion de s’exprimer sur toutes ces conclusions par écrit et que l’appelant avait adhéré à celles ressortant du rapport d’expertise lors de l’audience de mesures protectrices de l'union conjugale qui s’était tenue le 14 février 2025. Vu les éléments relevés par les différents intervenants professionnels, la première juge s’est ralliée aux conclusions de l’expertise, soulignant qu’il apparaissait effectivement que forcer C.________ à voir son père contre sa volonté pourrait aggraver son état émotionnel actuel, mais qu'il était essentiel pour son développement affectif qu'il puisse, à terme, maintenir un lien avec lui, même si leur relation était actuellement conflictuelle et chargée d'émotions négatives.</w:t>
      </w:r>
    </w:p>
    <w:p>
      <w:r>
        <w:rPr>
          <w:b/>
        </w:rPr>
        <w:t>E. 3.4.2</w:t>
      </w:r>
    </w:p>
    <w:p>
      <w:r>
        <w:t>L’analyse effectuée par la première juge ne prête pas le flanc à la critique. Avec celle-ci, il y a lieu de constater que C.________ est un adolescent âgé de quatorze ans et qu’il a déclaré de manière constante auprès de plusieurs professionnels de l’enfance ne plus souhaiter voir son père. L’y astreindre immédiatement, au lieu de préconiser un rétablissement plus progressif des relations personnelles par le biais de l’institution des Boréales, ne se justifie pas. Cela serait en outre, comme le relèvent l’expert et la DGEJ, contre‑productif, ce d’autant plus que le droit de visite médiatisé précédemment mis en œuvre auprès de l’institution Trait d’Union est resté lettre morte, l’adolescent ayant toujours refusé de s’y rendre. Ainsi, force est de constater que le maintien des relations personnelles entre le père et l’enfant n’apparait en l’état pas dans l’intérêt bien compris de ce dernier et qu’aucune mesure moins incisive ne peut actuellement être mise en place. Il faut au contraire, dans l’intérêt de l’enfant mais aussi dans celui de l’appelant, favoriser une chance de rétablir les relations personnelles en tolérant que la reprise ne s’effectue que dans le cade préconisé par l’expert psychiatre, non dans la précipitation et la contrainte, quelle que soit la cause des tensions père-fils. Le grief de l’appelant doit donc être rejeté.</w:t>
      </w:r>
    </w:p>
    <w:p>
      <w:r>
        <w:rPr>
          <w:b/>
        </w:rPr>
        <w:t>E. 4.1</w:t>
      </w:r>
    </w:p>
    <w:p>
      <w:r>
        <w:t>Au vu de ce qui précède, l’appel, manifestement infondé, doit être rejeté dans la mesure où il est recevable en application de l’art. 312 al. 1 in fine CPC et le jugement confirmé.</w:t>
      </w:r>
    </w:p>
    <w:p>
      <w:r>
        <w:rPr>
          <w:b/>
        </w:rPr>
        <w:t>E. 4.2</w:t>
      </w:r>
    </w:p>
    <w:p>
      <w:r>
        <w:t>Les frais judiciaires de deuxième instance, arrêtés à 600 fr. (art. 63 al. 1 TFJC [tarif des frais judiciaires civils du 28 septembre 2010 ; BLV 270.11.5]), seront mis à la charge de l’appelant qui succombe (art. 106 al. 1 CPC).</w:t>
      </w:r>
    </w:p>
    <w:p>
      <w:r>
        <w:rPr>
          <w:b/>
        </w:rPr>
        <w:t>E. 4.3</w:t>
      </w:r>
    </w:p>
    <w:p>
      <w:r>
        <w:t>Il n’y a pas lieu à l’allocation de dépens, l’intimée n’ayant pas été invitée à se déterminer sur l’appel. Par ces motifs, la Juge unique de la Cour d’appel civile prononce : I. L’appel est rejeté dans la mesure où il est recevable. II. L’ordonnance est confirmée. III. Les frais judiciaires de deuxième instance, arrêtés à 600 fr. (six cents francs) sont mis à la charge de l’appelant B.________. IV. Il n’est pas alloué de dépens de deuxième instance. V. L’arrêt est exécutoire. La juge unique :               La greffière : Du Le présent arrêt, dont la rédaction a été approuvée à huis clos, est notifié à : ‑ M. B.________, ‑ Me Claire Neville (pour J.________), et communiqué, par l'envoi de photocopies, à : ‑ Mme la Présidente du Tribunal civil de l'arrondissement de la Broye et du Nord vaudois, - Direction générale de l’enfance et de la jeunesse, Office régional de protection des mineurs [...], - C.________.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