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602 vom 24. Juli 2025</w:t>
      </w:r>
    </w:p>
    <w:p>
      <w:r>
        <w:t>VD Tribunal cantonal, 2025-07-24, FR</w:t>
      </w:r>
    </w:p>
    <w:p>
      <w:r>
        <w:rPr>
          <w:b/>
        </w:rPr>
        <w:t xml:space="preserve">Quelle: </w:t>
      </w:r>
      <w:r>
        <w:t>https://mcp.opencaselaw.ch/entscheid/vd_findinfo_HC___2025___602</w:t>
      </w:r>
    </w:p>
    <w:p>
      <w:r>
        <w:t>FR: VD_FINDINFO HC / 2025 / 602 du 24 juillet 2025</w:t>
      </w:r>
    </w:p>
    <w:p>
      <w:r>
        <w:t>IT: VD_FINDINFO HC / 2025 / 602 del 24 luglio 2025</w:t>
      </w:r>
    </w:p>
    <w:p>
      <w:pPr>
        <w:pStyle w:val="Heading2"/>
      </w:pPr>
      <w:r>
        <w:t>Regeste</w:t>
      </w:r>
    </w:p>
    <w:p>
      <w:r>
        <w:t>RÉPARTITION DES FRAIS, CIRCONSTANCES PERSONNELLES, DÉPENS, REJET DE LA DEMANDE | 106 al. 1 CPC (CH), 107 al. 1 let. f CPC (CH)</w:t>
      </w:r>
    </w:p>
    <w:p>
      <w:pPr>
        <w:pStyle w:val="Heading2"/>
      </w:pPr>
      <w:r>
        <w:t>Volltext</w:t>
      </w:r>
    </w:p>
    <w:p>
      <w:r>
        <w:t>Vaud Tribunal cantonal Chambre des recours civile HC / 2025 / 602</w:t>
      </w:r>
    </w:p>
    <w:p>
      <w:r>
        <w:t>RÉPARTITION DES FRAIS, CIRCONSTANCES PERSONNELLES, DÉPENS, REJET DE LA DEMANDE | 106 al. 1 CPC (CH), 107 al. 1 let. f CPC (CH)</w:t>
      </w:r>
    </w:p>
    <w:p>
      <w:r>
        <w:t>TRIBUNAL CANTONAL PT21.027551-250911 166 CHAMBRE DES RECOURS CIVILE _________________________________________ Arrêt du 24 juillet 2025 __________________ Composition :               Mme Courbat , présidente MM. Winzap et Segura Greffière :              Mme Vouilloz ***** Art. 106 al. 1 et 110 CPC Statuant à huis clos sur le recours interjeté par C.________ , à [...], contre le jugement rendu le 14 janvier 2025 par la Chambre patrimoniale cantonale dans la cause divisant la recourante d’avec V.________ , à [...], la Chambre des recours civile du Tribunal cantonal considère : En fait et en droit : 1. Par jugement du 14 janvier 2025, dont les considérants écrits ont été adressés aux parties le 12 juin 2025, la Chambre patrimoniale cantonale (ci-après : la Chambre patrimoniale) a notamment rejeté la demande du 24 juin 2021 déposée par C.________ à l’encontre du V.________ (I), a dit que les frais judiciaires, arrêtés à 30'011 fr., étaient laissés provisoirement à la charge de l’Etat pour C.________ (II) et a dit que C.________ devait payer au V.________ la somme de 15'000 fr. à titre de dépens (VI). 2. Par acte du 10 juillet 2025, C.________ (ci-après : la recourante) a interjeté recours de ce jugement en concluant à sa réforme en ce sens que les frais judiciaires soient définitivement mis à la charge de l’Etat, subsidiairement dans une « répartition conforme au principe d’équité et tenant compte des circonstances particulières de la cause », et qu’elle ne soit pas condamnée à verser les dépens, subsidiairement dans une proportion réduite « de manière significative » compte tenu de sa situation financière et des circonstances de la cause. Le 21 juillet 2025, la recourante a sollicité l’octroi de l’effet suspensif à son recours. 3. 3.1 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consid. 1.1 ; Tappy, Commentaire romand, Code de procédure civile [ci-après : CR-CPC], 2 e éd., Bâle 2019,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 er janvier 2025 [RO 2023 491]). Les indications erronées relatives aux voies de droit sont opposables à tous les tribunaux dans la mesure où elles sont avantageuses pour la partie qui s’en prévaut (art. 52 al. 2 CPC). 3.2 Pour être recevable, le recours doit être motivé (art. 321 al. 1 CPC) et doit contenir, sous peine d’irrecevabilité, des conclusions, en annulation ou au fond, soit ce que la partie veut que le tribunal lui alloue dans sa décision (entre autres : CREC 22 avril 2025/90 consid. 1.2.2 ; CREC 15 janvier 2024/10 consid. 3.1.2). Dès lors, les conclusions doivent être rédigées d’une manière suffisamment précise pour pouvoir être reprises telles quelles dans le dispositif de la décision à rendre (ATF 137 III 617 consid. 4.3, JdT 2014 II 187 ; TF 4A_462/2022 du 6 mars 2023 consid. 6.1). Les demandes portant sur le paiement d’une somme d’argent doivent être chiffrées (ATF 142 III 102 consid. 5.3.1 ; TF 5A_65/2022 du 16 janvier 2023 consid. 3.3.1). Lorsque les frais font l’objet d’un recours séparé, les conclusions – le cas échéant en lien avec la motivation – doivent indiquer clairement à concurrence de quel montant, à charge de quelle partie, les frais doivent être mis (TF 4A_112/2018 du 20 juin 2018 consid. 1.2.3 ; TF 5A_692/2016 du 24 avril 2017 consid. 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 3.3 En l'espèce, la recourante a conclu, à titre subsidiaire, à ce que les frais judiciaires soient répartis conformément à l’équité et à ce que les dépens soient réduits de manière significative. Force est toutefois de constater qu’elle ne prend pas, même implicitement, de conclusions chiffrées en réforme de la décision, comme l’exige pourtant la jurisprudence précitée. Les conclusions subsidiaires de la recourante sont ainsi irrecevables. Pour le surplus, le recours, écrit et motivé, a été interjeté en temps utile, à savoir dans les 30 jours à compter de la notification de la décision motivée, en se fondant sur l’indication erronée relative aux voies de droit mentionnée au pied du jugement querellé. Déposé par une partie ayant un intérêt digne de protection (art. 59 al. 2 let. a CPC), le recours est recevable. 4.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5. 5.1 La recourante se prévaut de sa précarité, de sorte qu’elle ne serait pas en mesure de régler les frais de justice et les dépens mis à sa charge par la Chambre patrimoniale. Elle invoque également le principe d’équité, en ce sens qu’elle estime que sa demande était fondée, le jugement retenant une violation des règles de l’art médical et du devoir de diligence de la Dresse [...]. Elle se trouverait par ailleurs dans une inégalité économique avec le V.________. 5.2 5.2.1 Selon l’art. 95 al. 1 CPC, les frais comprennent les frais judiciaires et les dépens. Les frais sont mis à la charge de la partie succombante (art. 106 al. 1 CPC). Cette disposition suppose une répartition des frais judiciaires et des dépens en fonction de l'issue du litige comparée avec les conclusions prises par chacune des parties (TF 5A_194/2024 du 20 novembre 2024 consid. 7.2). Le tribunal est toutefois libre de s’écarter de ces règles et de répartir les frais selon sa libre appréciation, en statuant selon les règles du droit et de l’équité (cf. art. 4 CC [Code civil suisse du 10 décembre 1907 ; RS 210]), dans les hypothèses prévues par l’art. 107 CPC, notamment lorsque des circonstances particulières rendent la répartition en fonction du sort de la cause inéquitable (let. f ; ATF 148 III 182 consid. 3.1, JdT 2023 II 183 ; ATF 139 III 33 consid. 4.2 et la réf. citée ; TF 5A_194/2024 loc. cit. ; TF 5A_950/2023 du 27 août 2024 consid. 4.1.1).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loc. cit. ; TF 5D_69/2017 du 14 juillet 2017 consid. 3.3.1 ; TF 4A_535/2015 du 1 er juin 2016 consid. 6.4.1). L’inégalité économique ne justifie en règle générale pas à elle seule de déroger aux principes généraux de répartition selon le sort de la cause, car une telle inégalité existe presque à chaque fois (Bohnet, CPC augmenté, Neuchâtel 2025, n. 7 ad art. 107 CPC). L’art. 107 al. 1 let. f CPC peut aussi trouver application lorsqu’il s’avère que la partie recourante a fait un usage dilatoire et abusif de la procédure (cf. ATF 143 III 46 consid. 3 et les réf. cit. ; TF 5D_69/2017 loc. cit. ). Il résulte de son texte clair que l’art. 107 CPC est de nature potestative (TF 4A_375/2023 du 25 juin 2024 consid. 3.1.2). L’art. 107 CPC doit cependant être appliqué restrictivement (TF 5D_69/2017 loc. cit. ; TF 1C_350/2016 du 2 février 2017 consid. 2.3.2 et les réf. citées). 5.2.2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loc. cit. ; TF 5A_851/2023 du 15 novembre 2024 consid. 6.1 ; TF 5D_108/2020 du 28 janvier 2021 consid. 3.1 et les réf. citées). 5.3 En l’espèce, il n'est pas contestable que l'action introduite par la recourante a été rejetée. Bien qu’une violation des règles de l’art et du devoir de diligence de la Dresse [...] ait été constatée, il n’en demeure pas moins que les autres conditions de la responsabilité médicale n’étaient pas remplies. Dès lors que la recourante a entièrement succombé, la Chambre patrimoniale a motivé la répartition des frais sur la base de l’art. 106 al. 1 CPC, ce qui ne prête pas flanc à la critique. Eu égard au large pouvoir d'appréciation dont la Chambre patrimoniale disposait en la matière, le fait qu'elle ait considéré que ni la situation financière précaire dont la recourante se prévaut, ni l’inégalité économique avec le V.________ qu’elle allègue ne justifiaient de déroger à cette règle en application de l'art. 107 CPC ne constitue pas une violation du droit. 6. 6.1 En définitive, le recours doit être rejeté dans la mesure de sa recevabilité (art. 322 al. 1 in fine CPC) et le jugement confirmé. Il s’ensuit que la requête d’effet suspensif formée par la recourante est devenue sans objet. 6.2 Le présent arrêt est rendu sans frais judiciaires (art. 11 TFJC [tarif des frais judiciaires civils du 28 septembre 2010 ; BLV 270.11.5]). Il n’y a pas lieu à l’allocation de dépens de deuxième instance, le V.________ n’ayant pas été invité à se déterminer sur le recours. Par ces motifs, la Chambre des recours civile du Tribunal cantonal, en application de l'art. 322 al. 1 CPC, prononce : I. Le recours est rejeté dans la mesure où il est recevable. II. La requête d’effet suspensif est sans objet. III. Le jugement est confirmé. IV. L’arrêt, rendu sans frais, est exécutoire. La présidente :               La greffière : Du L'arrêt qui précède, dont la rédaction a été approuvée à huis clos, est notifié à : ‑ Mme C.________, ‑ Me Daniel Pache (pour le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