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596 vom 7. August 2025</w:t>
      </w:r>
    </w:p>
    <w:p>
      <w:r>
        <w:t>VD Tribunal cantonal, 2025-08-07, FR</w:t>
      </w:r>
    </w:p>
    <w:p>
      <w:r>
        <w:rPr>
          <w:b/>
        </w:rPr>
        <w:t xml:space="preserve">Quelle: </w:t>
      </w:r>
      <w:r>
        <w:t>https://mcp.opencaselaw.ch/entscheid/vd_findinfo_HC___2025___596</w:t>
      </w:r>
    </w:p>
    <w:p>
      <w:r>
        <w:t>FR: VD_FINDINFO HC / 2025 / 596 du 7 août 2025</w:t>
      </w:r>
    </w:p>
    <w:p>
      <w:r>
        <w:t>IT: VD_FINDINFO HC / 2025 / 596 del 7 agosto 2025</w:t>
      </w:r>
    </w:p>
    <w:p>
      <w:pPr>
        <w:pStyle w:val="Heading2"/>
      </w:pPr>
      <w:r>
        <w:t>Regeste</w:t>
      </w:r>
    </w:p>
    <w:p>
      <w:r>
        <w:t>EFFET SUSPENSIF, MOTIVATION DE LA DEMANDE, OBLIGATION D'ENTRETIEN | 311 al. 1 CPC (CH), 315 al. 2 let. b CPC (CH), 315 al. 4 let. b CPC (CH)</w:t>
      </w:r>
    </w:p>
    <w:p>
      <w:pPr>
        <w:pStyle w:val="Heading2"/>
      </w:pPr>
      <w:r>
        <w:t>Erwägungen</w:t>
      </w:r>
    </w:p>
    <w:p>
      <w:r>
        <w:rPr>
          <w:b/>
        </w:rPr>
        <w:t>E. 1</w:t>
      </w:r>
    </w:p>
    <w:p>
      <w:r>
        <w:t>er novembre 2024/ES90 consid. 4.2.1). Ni la maxime d’office ni la maxime inquisitoire illimitée ne permettent de relativiser les exigences posées par l’art. 311 al. 1 CPC (TF 5A_23/2023 du 17 janvier 2024 consid. 4.3 et les références citées).</w:t>
      </w:r>
    </w:p>
    <w:p>
      <w:r>
        <w:rPr>
          <w:b/>
        </w:rPr>
        <w:t>E. 1.1</w:t>
      </w:r>
    </w:p>
    <w:p>
      <w:r>
        <w:t>Selon l’art. 315 al. 2 let. b CPC (Code de procédure civile du 19 décembre 2008 ; RS 272), l’appel n’a pas d’effet suspensif lorsqu’il a pour objet des décisions portant sur des mesures provisionnelles, dont font partie les ordonnances de mesures protectrices de l’union conjugale (ATF 137 III 475 consid. 4.1 et la référence citée, JdT 2012 II 519 ; TF 5A_897/2024 du 6 février 2025 consid. 3.1). Si la partie concernée risque de subir un préjudice difficilement réparable, l’instance d’appel peut, sur demande, exceptionnellement suspendre le caractère exécutoire des mesures provisionnelles (art. 315 al. 4 let. b CPC).</w:t>
      </w:r>
    </w:p>
    <w:p>
      <w:r>
        <w:rPr>
          <w:b/>
        </w:rPr>
        <w:t>E. 1.2</w:t>
      </w:r>
    </w:p>
    <w:p>
      <w:r>
        <w:t>Saisie d'une demande d'effet suspensif, l'autorité de recours doit faire preuve de retenue et ne modifier la décision de première instance que dans des cas exceptionnels ; elle doit procéder à une pesée des intérêts en présence et dispose cependant d'un large pouvoir d'appréciation permettant de tenir compte des circonstances concrètes du cas d'espèce (ATF 138 III 378 consid. 6.3 ; TF 5A_474/2024 du 23 août 2024 consid. 5).</w:t>
      </w:r>
    </w:p>
    <w:p>
      <w:r>
        <w:rPr>
          <w:b/>
        </w:rPr>
        <w:t>E. 1.3</w:t>
      </w:r>
    </w:p>
    <w:p>
      <w:r>
        <w:t>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5A_500/2022 du 28 septembre 2022 consid. 4.1).</w:t>
      </w:r>
    </w:p>
    <w:p>
      <w:r>
        <w:rPr>
          <w:b/>
        </w:rPr>
        <w:t>E. 1.4</w:t>
      </w:r>
    </w:p>
    <w:p>
      <w:r>
        <w:t>Le refus de l’ 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(ATF 138 III 333 consid. 1.3.1 ; 137 III 637 consid. 1.2 ; TF 5A_56/2019 du 9 mai 2019 consid. 1.2.1). Des exceptions peuvent exister lorsque le débiteur n’est pas en mesure de payer les contributions ou lorsqu’il ne pourrait récupérer les prestations payées en cas de gain de cause, ce qu’il lui incombe de démontrer (TF 5A_182/2023 du 8 mai 2023 consid. 2.1 ; TF 5A_598/2017 du 5 décembre 2017 consid. 1.2). En règle générale, l’effet suspensif est accordé pour les pensions arriérées, à tout le moins lorsqu’elles ne sont plus nécessaires pour assurer la couverture des besoins du créancier, mais non pour les pensions courantes (TF 5A_848/2019 du 2 décembre 2020 consid. 10 ; TF 5A_844/2019 du 17 septembre 2020 consid. 6 ; TF 5A_780/2015 du 22 octobre 2015).</w:t>
      </w:r>
    </w:p>
    <w:p>
      <w:r>
        <w:rPr>
          <w:b/>
        </w:rPr>
        <w:t>E. 1.5</w:t>
      </w:r>
    </w:p>
    <w:p>
      <w:r>
        <w:t>Conformément à l'art. 311 al. 1 CPC, l'appel doit être motivé, sous peine d’irrecevabilité (ATF 147 III 176 consid. 4.2.1, RSPC 2021 p. 252 ; TF 4A_439/2023 du 9 septembre 2024 consid. 4.1.1 ; TF 5A_647/2023 du 5 mars 2024 consid. 5.2). Cette exigence vaut également lorsqu'il s'agit de démontrer – ou à tout le moins de rendre vraisemblable – l'existence d'un préjudice difficilement réparable justifiant l’octroi de l’effet suspensif (Juge unique CACI 3 juillet 2025/ES63 consid. 1.1.4 ; Juge unique CACI 18 juin 2025/ES57 consid. 1.2.3 ; Juge unique CACI</w:t>
      </w:r>
    </w:p>
    <w:p>
      <w:r>
        <w:rPr>
          <w:b/>
        </w:rPr>
        <w:t>E. 2</w:t>
      </w:r>
    </w:p>
    <w:p>
      <w:r>
        <w:t>En l’espèce, l’argumentation de l’appelant s’agissant de l’existence d’un risque de préjudice difficilement réparable est sans consistance. Il se contente d’affirmer de manière particulièrement succincte qu’en cas d’issue favorable à son appel, il ne pourrait pas recouvrer les contributions d’entretien versées, l’intimée n’ayant à sa connaissance aucune fortune. Se basant sur une simple supposition, l’appelant n’a fourni aucun élément apte à rendre vraisemblable qu’il ne pourrait pas obtenir, cas échéant, le remboursement des pensions déjà versées. Il n’a par ailleurs fait aucune distinction entre les contributions à l’entretien de ses enfants ou de son épouse, ni entre les arriérés de contribution et les contributions d’entretien courantes. Au surplus, l’appelant n’a ni soutenu ni démontré que le paiement des contributions d’entretien mises à sa charge l’exposerait à d’importantes difficultés financières et encore moins qu’il serait atteint dans son minimum vital du droit des poursuites (qui doit en tout état être préservé ; cf. ATF 140 III 337 consid. 4.3, JdT 2015 II 227 ; TF 5A_59/2024 du 9 octobre 2024 consid. 3.1.1). Quant aux maximes d’office et inquisitoire illimitée – applicables en l’espèce au vu des contributions fixées à l’entretien d’enfants mineurs –, elles ne lui sont d’aucun secours. Il appartenait en tout état à l’appelant de motiver sa requête d’effet suspensif conformément aux exigences de l’art. 311 al. 1 CPC. Partant, l’appelant n’a pas rendu vraisemblable qu’il ne serait pas en mesure d’obtenir, cas échéant, le remboursement par l’intimée des contributions d’entretien payées indûment et qu’il s’exposerait ainsi, par leur paiement, à un préjudice difficilement réparable. Les exigences de motivation de l’art. 311 al. 1 CPC ne sont dès lors manifestement pas réalisées. Quant aux chiffres du dispositif de l’ordonnance attaquée qui ne concernent pas les contributions d’entretien – l’appelant n’ayant pas précisé ceux pour lesquels il demandait l’effet suspensif –, aucune explication justifiant de suspendre le caractère exécutoire desdits chiffres n’a été apportée.</w:t>
      </w:r>
    </w:p>
    <w:p>
      <w:r>
        <w:rPr>
          <w:b/>
        </w:rPr>
        <w:t>E. 3</w:t>
      </w:r>
    </w:p>
    <w:p>
      <w:r>
        <w:t>En définitive, la requête d’effet suspensif est irrecevable. Il sera statué sur les frais judiciaires et les dépens dans le cadre de l’arrêt sur appel à intervenir (cf. art. 104 al. 3 CPC). Par ces motifs, le Juge unique de la Cour d’appel civile, prononce : I. La requête d’effet suspensif est irrecevable. II. Il sera statué sur les frais judiciaires et les dépens de la présente ordonnance dans le cadre de l’arrêt sur appel à intervenir. Le juge unique :               La greffière : Du La présente ordonnance, dont la rédaction a été approuvée à huis clos, est notifiée à : ‑ Me Véronique Fontana, avocate (pour A.H.________), ‑ Me Juliette Perrin, avocate (pour B.H.________), et communiquée, par l'envoi de photocopies, à : ‑ Mme la Présidente du Tribunal civil de l’arrondissement de Lausanne.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