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521 vom 11. Juli 2025</w:t>
      </w:r>
    </w:p>
    <w:p>
      <w:r>
        <w:t>VD Tribunal cantonal, 2025-07-11, FR</w:t>
      </w:r>
    </w:p>
    <w:p>
      <w:r>
        <w:rPr>
          <w:b/>
        </w:rPr>
        <w:t xml:space="preserve">Quelle: </w:t>
      </w:r>
      <w:r>
        <w:t>https://mcp.opencaselaw.ch/entscheid/vd_findinfo_HC___2025___521</w:t>
      </w:r>
    </w:p>
    <w:p>
      <w:r>
        <w:t>FR: VD_FINDINFO HC / 2025 / 521 du 11 juillet 2025</w:t>
      </w:r>
    </w:p>
    <w:p>
      <w:r>
        <w:t>IT: VD_FINDINFO HC / 2025 / 521 del 11 luglio 2025</w:t>
      </w:r>
    </w:p>
    <w:p>
      <w:pPr>
        <w:pStyle w:val="Heading2"/>
      </w:pPr>
      <w:r>
        <w:t>Regeste</w:t>
      </w:r>
    </w:p>
    <w:p>
      <w:r>
        <w:t>ÉCHELONNEMENT DE LA PROCÉDURE, GARANTIE DE PROCÉDURE, DÉCISION D'IRRECEVABILITÉ | 261 CPC (CH), 315 al. 1 CPC (CH)</w:t>
      </w:r>
    </w:p>
    <w:p>
      <w:pPr>
        <w:pStyle w:val="Heading2"/>
      </w:pPr>
      <w:r>
        <w:t>Erwägungen</w:t>
      </w:r>
    </w:p>
    <w:p>
      <w:r>
        <w:rPr>
          <w:b/>
        </w:rPr>
        <w:t>E. 6</w:t>
      </w:r>
    </w:p>
    <w:p>
      <w:r>
        <w:t>Il sera statué sur les frais judiciaires et les dépens dans le cadre de l’arrêt sur appel à intervenir (cf. art. 104 al. 3 CPC). Par ces motifs, Le Juge unique de la Cour d’appel civile, statuant par voie de mesures superprovisionnelles et provisionnelles, prononce : I. La requête de mesures superprovisionnelles et provisionnelles est irrecevable. II. Il sera statué sur les frais judiciaires et les dépens de la présente ordonnance dans le cadre de l’arrêt sur appel à intervenir. Le juge unique :               Le greffier : Du La présente ordonnance, dont la rédaction a été approuvée à huis clos, est notifiée à : ‑ Me Mireille Loroch (pour A.S.________) ‑ Me Mathias Micsiz (pour B.S.________) et communiquée, par l'envoi de photocopies, à : ‑ Mme la Présidente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