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509 vom 27. Januar 2025</w:t>
      </w:r>
    </w:p>
    <w:p>
      <w:r>
        <w:t>VD Tribunal cantonal, 2025-01-27, FR</w:t>
      </w:r>
    </w:p>
    <w:p>
      <w:r>
        <w:rPr>
          <w:b/>
        </w:rPr>
        <w:t xml:space="preserve">Quelle: </w:t>
      </w:r>
      <w:r>
        <w:t>https://mcp.opencaselaw.ch/entscheid/vd_findinfo_HC___2025___509</w:t>
      </w:r>
    </w:p>
    <w:p>
      <w:r>
        <w:t>FR: VD_FINDINFO HC / 2025 / 509 du 27 janvier 2025</w:t>
      </w:r>
    </w:p>
    <w:p>
      <w:r>
        <w:t>IT: VD_FINDINFO HC / 2025 / 509 del 27 gennaio 2025</w:t>
      </w:r>
    </w:p>
    <w:p>
      <w:pPr>
        <w:pStyle w:val="Heading2"/>
      </w:pPr>
      <w:r>
        <w:t>Erwägungen</w:t>
      </w:r>
    </w:p>
    <w:p>
      <w:r>
        <w:rPr>
          <w:b/>
        </w:rPr>
        <w:t>E. 1.1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dans les trente jours à compter de la notification de la décision motivée ou de la notification postérieure de la motivation (art. 311 al. 1 CPC).</w:t>
      </w:r>
    </w:p>
    <w:p>
      <w:r>
        <w:rPr>
          <w:b/>
        </w:rPr>
        <w:t>E. 1.2</w:t>
      </w:r>
    </w:p>
    <w:p>
      <w:r>
        <w:t>En l'espèce, formé en temps utile par des parties qui ont un intérêt digne de protection (art. 59 al. 2 let. a CPC), contre une décision finale rendue dans une cause patrimoniale dont la valeur litigieuse était supérieure à 10’000 fr. en première instance, l'appel est recevable. Il en va de même de la réponse, déposée en temps utile. Il n’a cependant pas été tenu compte de la réplique spontanée déposée par les appelants, dans la mesure où le dispositif non motivé du jugement avait déjà été adressé aux parties. Elle est toutefois sans influence sur le sort de la cause.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w:t>
      </w:r>
    </w:p>
    <w:p>
      <w:r>
        <w:rPr>
          <w:b/>
        </w:rPr>
        <w:t>E. 2.4</w:t>
      </w:r>
    </w:p>
    <w:p>
      <w:r>
        <w:t>Les appelants estime tout d'abord que le jugement entrepris retient à tort que la réception de l’ouvrage a eu lieu le 16 novembre 2011. Ils estiment que c’est déjà le 18 février 2011 que les intimés ont pris possession du bien. Les appelants perdent de vue qu’ils ont eux-mêmes allégué que l’emménagement des intimés en février 2011 avait été fait de manière anticipée alors que la construction n’était pas terminée et que la réception de l’ouvrage avait eu lieu le 16 novembre 2011. Dans ces circonstances, le jugement entrepris ne souffre d’aucune constatation inexacte des faits. Le grief des appelants doit être rejeté. Par surabondance, on relèvera que, même si la date du 18 février 2011 devait être retenue comme déterminante, tant le délai de prescription de cinq ans que le délai de préemption de deux ans resteraient respectés par les intimés, ce que les appelants ne remettent d’ailleurs pas en cause.</w:t>
      </w:r>
    </w:p>
    <w:p>
      <w:r>
        <w:rPr>
          <w:b/>
        </w:rPr>
        <w:t>E. 3.1</w:t>
      </w:r>
    </w:p>
    <w:p>
      <w:r>
        <w:t>Les appelants contestent ensuite l’appréciation de la Chambre patrimoniale selon laquelle les intimés n'auraient pas accepté l'ouvrage avec son défaut. Ils invoquent un courrier que les intimés leur ont adressé le 10 décembre 2012 les informant qu’ils avaient décidé de s’occuper des travaux de finitions, retouches et réparations des dégâts causés par les différentes entreprises lors de leurs interventions, sous leur propre responsabilité. Les appelants soutiennent que ce courrier démontre l’acceptation des défauts de l’ouvrage par les intimés.</w:t>
      </w:r>
    </w:p>
    <w:p>
      <w:r>
        <w:rPr>
          <w:b/>
        </w:rPr>
        <w:t>E. 3.2</w:t>
      </w:r>
    </w:p>
    <w:p>
      <w:r>
        <w:t>Les intimés rappellent qu’ils ont adressé plusieurs avis des défauts aux appelants. Ils considèrent ainsi qu’il ne saurait être retenu qu’ils ont accepté l’ouvrage. Quant à leur courrier du 10 décembre 2012, les intimés indiquent qu’il a été adressé à l’appelant suite à ses nombreux refus de reconnaître les défauts constatés et d’y remédier et se borne à mentionner certains travaux dorénavant pris en charge par les intimés.</w:t>
      </w:r>
    </w:p>
    <w:p>
      <w:r>
        <w:rPr>
          <w:b/>
        </w:rPr>
        <w:t>E. 3.3.1</w:t>
      </w:r>
    </w:p>
    <w:p>
      <w:r>
        <w:t>Aux termes de l’art. 367 CO,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w:t>
      </w:r>
    </w:p>
    <w:p>
      <w:r>
        <w:rPr>
          <w:b/>
        </w:rPr>
        <w:t>E. 3.3.2</w:t>
      </w:r>
    </w:p>
    <w:p>
      <w:r>
        <w:t>L'avis des défauts n'est soumis à aucune exigence de forme particulière. Il doit toutefois indiquer précisément quels défauts sont découverts (TF 4A_261/2020 du 10 décembre 2020 consid. 7.2.1 et les références citées). Cette communication n'est toutefois pas suffisante. Le maître doit également exprimer la volonté de ne pas reconnaître l'ouvrage comme conforme au contrat et de mettre en cause la responsabilité de l'entrepreneur. Une certaine précision quant à la description du défaut est de mise ; l'entrepreneur doit comprendre sur quels points son ouvrage est contesté. En revanche, le maître n'a pas à motiver plus longuement sa position ; en particulier, il n'a pas à préciser l'origine des défauts dénoncés, ni à spécifier quels droits il entend exercer (TF 4A_261/2020 loc. cit .).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 il n'en va autrement qu'en présence de circonstances particulières, par exemple lorsque le maître signale les défauts dans le seul but de mettre en garde l'entrepreneur pour l'avenir (TF 4A_293/2017 du 13 février 2018 consid. 2.2.2 et les références citées).</w:t>
      </w:r>
    </w:p>
    <w:p>
      <w:r>
        <w:rPr>
          <w:b/>
        </w:rPr>
        <w:t>E. 3.4</w:t>
      </w:r>
    </w:p>
    <w:p>
      <w:r>
        <w:t>La Chambre patrimoniale a retenu que les intimés avaient déjà constaté les défauts en lien avec les moisissures dues à l’humidité en décembre 2011. Elle a souligné que les intimés avaient à cet égard adressé plusieurs courriels faisant état des défauts, accompagnés de photographies les 5 décembre 2011, 9 janvier 2012 et le 19 janvier 2012. Elle a rappelé qu’une séance en présence des parties avait eu lieu le 11 juin 2012 et que le procès-verbal établi – non signé par les appelants – mentionnait des problèmes d’isolation. Enfin, elle a relevé qu’en janvier 2013, les intimés avaient transmis aux appelants des photographies thermiques montrant des ponts de froid au niveau de l’isolation de leurs fenêtres. Fondée sur ces éléments, elle a considéré que les intimés n’avaient pas accepté les défauts de l’ouvrage. En l’occurrence, l’appréciation de la Chambre patrimoniale doit être suivie. Les intimés ont adressé aux appelants un premier avis des défauts le 5 décembre 2011 dans lequel ils décrivaient les défauts constatés et indiquaient qu’ils ne payeraient pas le solde des travaux tant que ceux-ci n’auraient pas été corrigés, citant en particulier le problème d’humidité et l’absence de finition du mur de la chambre parentale. Les intimés ont à nouveau adressé un avis des défauts aux appelants le 9 janvier 2012 en joignant des photographies des moisissures et sommant les appelants de faire intervenir les entreprises concernées au plus vite. Les appelants ne sauraient ainsi soutenir que les intimés auraient accepté les défauts. Ces mises en demeure traduisent la volonté des intimés de ne pas reconnaître l’ouvrage comme conforme au contrat et la responsabilité des appelants dans ce cadre. Toute autre interprétation serait insoutenable. Quant au courrier du 10 décembre 2012, il ne constitue pas plus une acceptation des défauts par les intimés. Au contraire, les intimés indiquent clairement que les défauts annoncés subsistent et qu’ils se borneront à se charger des finitions, des retouches et des réparations des dégâts causés par les entreprises lors de leurs interventions. A contrario , les intimés n’indiquent pas s’occuper des défauts liés au problème d’humidité qui demeuraient de la responsabilité des appelants. D’ailleurs, les parties ont encore tenté de trouver une solution à ce problème après cette date, de sorte que l’envoi de ce courrier est sans pertinence. Dans ces circonstances, il n’y a pas eu acceptation du défaut par les intimés et le grief des appelants doit donc être rejeté.</w:t>
      </w:r>
    </w:p>
    <w:p>
      <w:r>
        <w:rPr>
          <w:b/>
        </w:rPr>
        <w:t>E. 4.1</w:t>
      </w:r>
    </w:p>
    <w:p>
      <w:r>
        <w:t>Les appelants font ensuite valoir que l'art. 366 al. 2 CO est de droit dispositif. Selon eux, l'art.</w:t>
      </w:r>
    </w:p>
    <w:p>
      <w:r>
        <w:rPr>
          <w:b/>
        </w:rPr>
        <w:t>E. 4.2</w:t>
      </w:r>
    </w:p>
    <w:p>
      <w:r>
        <w:t>Les intimés estiment que cet article ne peut être interprété dans le sens d’une exclusion de responsabilité du constructeur que dans l’hypothèse où les maîtres de l’ouvrage feraient effectuer des travaux sous leur responsabilité propre sans son concours.</w:t>
      </w:r>
    </w:p>
    <w:p>
      <w:r>
        <w:rPr>
          <w:b/>
        </w:rPr>
        <w:t>E. 4.3.1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(TF 4A_555/2023 du 29 novembre 2024 consid. 3.3.1). Constituent des indices en ce sens non seulement la teneur des déclarations de volonté –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4A_133/2023 du 9 juin 2023 consid. 4.1.2 et les références citées). Cela étant, il n’y a pas lieu de s’écarter du sens littéral du texte adopté par les cocontractants lorsqu’il n’existe aucune raison sérieuse de penser qu’il ne correspond pas à leur volonté (TF 5A_771/2022 du 5 avril 2023 consid. 3.3.1 et les références citées). Une interprétation stricte selon la lettre s’impose également lorsque les parties sont expérimentées en affaires et familières des termes techniques utilisés (TF 4A_449/2019 du 16 avril 2020 consid. 5.3.2 et les références citées).</w:t>
      </w:r>
    </w:p>
    <w:p>
      <w:r>
        <w:rPr>
          <w:b/>
        </w:rPr>
        <w:t>E. 4.3.2</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références citées).</w:t>
      </w:r>
    </w:p>
    <w:p>
      <w:r>
        <w:rPr>
          <w:b/>
        </w:rPr>
        <w:t>E. 4.4</w:t>
      </w:r>
    </w:p>
    <w:p>
      <w:r>
        <w:t>La clause citée par les appelants ne saurait être interprétée dans le sens qu’ils souhaitent lui donner. En effet, il en ressort que si les intimés effectuent des travaux sans l’accord du constructeur en court-circuitant la procédure de réfection des défauts, la garantie devient caduque. Cette clause n’implique toutefois aucunement que les intimés devraient accepter n’importe quelle solution proposée, sous peine de constituer un engagement excessif, mais doivent laisser à l’entrepreneur l’occasion de réparer les défauts dont il est responsable. Le grief des appelants doit donc être rejeté.</w:t>
      </w:r>
    </w:p>
    <w:p>
      <w:r>
        <w:rPr>
          <w:b/>
        </w:rPr>
        <w:t>E. 5</w:t>
      </w:r>
    </w:p>
    <w:p>
      <w:r>
        <w:t>du contrat de construction y dérogerait. Ils voient dans cet article un engagement d'accepter les travaux de garantie, quels qu'ils soient, et une renonciation au droit de réfection par un tiers. Ils reprochent aux intimés d'avoir refusé leur proposition de réparation.</w:t>
      </w:r>
    </w:p>
    <w:p>
      <w:r>
        <w:rPr>
          <w:b/>
        </w:rPr>
        <w:t>E. 5.1</w:t>
      </w:r>
    </w:p>
    <w:p>
      <w:r>
        <w:t>et les références citées), le maître peut fixer ou faire fixer à l'entrepreneur un délai convenable pour supprimer le défaut, en l'avisant que, s'il ne s'exécute pas dans le délai fixé, les réparations ou la continuation des travaux seront confiées à un tiers, aux frais et risques de l'entrepreneur. Cette disposition régit un cas d'exécution par substitution, sans qu'il soit nécessaire de requérir au préalable une autorisation du juge (ATF 126 III 230 consid. 7a). La simple fixation d'un délai par le maître n'est pas suffisante. La menace de l'exécution par un tiers est nécessaire, l'entrepreneur devant être informé des conséquences de son éventuelle passivité (Chaix in Thévenoz/Werro, Commentaire Romand du Code des obligations I [CR-CO I], 3 e éd., Bâle, 2021, n. 33, ad art. 366). Le maître doit donc obligatoirement fixer à l'entrepreneur un délai d'exécution convenable et le menacer qu'à l'échéance du délai, s'il ne réagit pas, il fera appel aux services d'un tiers (TF 4D_76/2010 du 5 octobre 2010 consid. 5.2 et les références citées). La fixation d'un délai n'est pas nécessaire lorsqu'il apparaît que cette mesure serait sans effet, par exemple si l'entrepreneur se révèle d'emblée totalement incapable d'éliminer le défaut ou s'il manifeste, expressément ou par actes concluants, qu'il n'entend rien modifier à la situation (ATF 150 III 63 consid. 8.3.2.1 et les références citées).</w:t>
      </w:r>
    </w:p>
    <w:p>
      <w:r>
        <w:rPr>
          <w:b/>
        </w:rPr>
        <w:t>E. 5.2</w:t>
      </w:r>
    </w:p>
    <w:p>
      <w:r>
        <w:t>Les intimés rétorquent que les appelants ont démontré n’avoir jamais eu l’intention de procéder à la réfection des défauts. Ils relèvent que les appelants ne sont jamais entrés en matière à cet égard, malgré de nombreuses tentatives de trouver une solution transactionnelle.</w:t>
      </w:r>
    </w:p>
    <w:p>
      <w:r>
        <w:rPr>
          <w:b/>
        </w:rPr>
        <w:t>E. 5.3.1</w:t>
      </w:r>
    </w:p>
    <w:p>
      <w:r>
        <w:t>En cas de livraison d'un ouvrage défectueux, le maître a le choix, aux conditions de l'art. 368 CO, d'exiger soit la réfection de l'ouvrage, soit l'annulation du contrat, soit la réduction du prix ; le maître est lié par son choix, qui procède de l'exercice d'un droit formateur. S'il demande la réfection de l'ouvrage et obtient satisfaction, il ne saurait exercer l'action rédhibitoire ou minutoire (TF 4A_274/2024 du 20 août 2024 consid. 3.1.2 et les références citées). Le maître de l'ouvrage ne peut pas, en lieu et place des droits alternatifs qui lui sont octroyés par l'art. 368 CO, soutenir qu'il y a mauvaise exécution du contrat et se prévaloir des art. 97 ss CO (TF 4A_274/2024 ibidem ). Le droit formateur ne peut être exercé que par celui auquel il appartient ; le juge ne peut en principe pas suppléer une volonté qui n'a pas été manifestée (TF 4A_23/2021 du 12 décembre 2022 consid. 3 et les références citées).</w:t>
      </w:r>
    </w:p>
    <w:p>
      <w:r>
        <w:rPr>
          <w:b/>
        </w:rPr>
        <w:t>E. 5.3.2</w:t>
      </w:r>
    </w:p>
    <w:p>
      <w:r>
        <w:t>D'après l'art. 366 al. 2 CO, applicable par analogie (TF 4A_268/2021 du 18 mai 2022 consid.</w:t>
      </w:r>
    </w:p>
    <w:p>
      <w:r>
        <w:rPr>
          <w:b/>
        </w:rPr>
        <w:t>E. 5.4</w:t>
      </w:r>
    </w:p>
    <w:p>
      <w:r>
        <w:t>La Chambre patrimoniale a considéré que le délai fixé par les intimés au 24 février 2014 remplissait les conditions imposées par l'art. 366 al. 2 CO, applicable par analogie. Elle a constaté que les intimés ont tenu les appelants informés de l'état des moisissures dans leur appartement et que, dès lors que les tentatives des appelants pour éliminer le défaut n’avaient pas abouti, les intimés leur avaient laissé une ultime occasion de proposer des solutions concrètes. Les appelants n'ayant pas voulu entrer en matière, les intimés s’étaient adjoint les services d’un architecte afin d'éliminer les défauts de leur appartement, ce qu'ils étaient en droit de faire conformément à la possibilité laissée par l'art. 366 al. 2 CO. Fondée sur ce constat, la Chambre patrimoniale a considéré que leur conclusion tendant au remboursement des frais engagés était fondée sur le principe. La Cour de céans ne partage pas ce constat. Les intimés ont choisi d’exercer leur droit à la réparation de l’ouvrage. Le choix de ce droit formateur entraine l’exclusion des droits à la réduction du prix de l’ouvrage, ainsi qu’à l'annulation du contrat. En pareil cas, les intimés devaient respecter les conditions relatives à l’exécution par substitution fondée sur l’art. 366 al. 2 CO, applicable par analogie. Or, il y a lieu de constater, avec les appelants, que le courrier du 4 février 2014 des intimés ne fixe aucun délai pour l’élimination du défaut mais uniquement pour faire une proposition d’intervention, ce sans compter qu’il ne concerne pas le défaut causal – qui n’est même pas mentionné – mais plutôt ses conséquences. Le courrier ne contient pas non plus de menace d’exécution par un tiers à défaut de respect du délai imparti mais se borne à prévenir qu’une procédure sera engagée. Aucun des courriels et courriers adressés par les intimés aux appelants ne contient un tel avis. S’il est vrai que les appelants n'ont pas strictement respecté ce délai et n'ont réagi qu'en mars et avril 2014, on ne peut cependant pas, sur la base des faits retenus, considérer qu'impartir clairement un délai raisonnable aux appelants, avec la menace d'une exécution par substitution, aurait été vain. Les appelants sont en effet toujours entrés en matière pour chercher la cause aux problèmes d'humidité et de possibles solutions. Le fait que cela ait duré ou que les parties aient été en désaccord ne peut leur être reproché, tant les problèmes d'humidité peuvent être complexes. On peut relever qu'il ressort de l’état de fait qu'en 2017 et 2018, l’assemblée générale de la PPE s'est penchée sur ces problèmes d'humidité. Si les intimés ont été « autorisés » à effectuer des travaux nécessaires dans leur appartement pour l'assainir, rien n'a été protocolé sur le coût de ces travaux et leur prise en charge financière. C’est donc à raison que les appelants soutiennent que la procédure de l'art. 368 CO n'a pas été suivie et que les intimés sont déchus de leur droit de garantie. L’appel doit donc être admis sur ce point.</w:t>
      </w:r>
    </w:p>
    <w:p>
      <w:r>
        <w:rPr>
          <w:b/>
        </w:rPr>
        <w:t>E. 6.1</w:t>
      </w:r>
    </w:p>
    <w:p>
      <w:r>
        <w:t>Vu ce qui précède, l'appel doit être admis et le jugement réformé dans le sens des considérants.</w:t>
      </w:r>
    </w:p>
    <w:p>
      <w:r>
        <w:rPr>
          <w:b/>
        </w:rPr>
        <w:t>E. 6.2.1</w:t>
      </w:r>
    </w:p>
    <w:p>
      <w:r>
        <w:t>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w:t>
      </w:r>
    </w:p>
    <w:p>
      <w:r>
        <w:rPr>
          <w:b/>
        </w:rPr>
        <w:t>E. 6.2.2</w:t>
      </w:r>
    </w:p>
    <w:p>
      <w:r>
        <w:t>Les frais judiciaires de première instance ont été arrêtés à 10’610 fr. et ne sont pas contestés dans leur quotité. L’appel étant admis et la demande au fond des intimés rejetée, il convient dès lors de mettre l'émolument de la procédure de première instance à la charge de ceux-ci, solidairement entre eux, dans la mesure où ils succombent entièrement (art. 106 al 1 CPC). Les intimés devront ainsi, solidairement entre eux, verser aux appelants le montant de 1'110 fr. à titre de remboursement de leur avance de frais judiciaires. Concernant les dépens de première instance, évalués à 18'000 fr. et également non contestés dans leur quotité, ils doivent être mis à charge des intimés, qui succombent entièrement. Partant, les intimés doivent verser aux appelants, solidairement entre eux, un montant de 18’000 fr. à titre de dépens.</w:t>
      </w:r>
    </w:p>
    <w:p>
      <w:r>
        <w:rPr>
          <w:b/>
        </w:rPr>
        <w:t>E. 6.3</w:t>
      </w:r>
    </w:p>
    <w:p>
      <w:r>
        <w:t>Les frais judiciaires de deuxième instance, arrêtés à 1’655 fr. (art. 62 al. 1 TFJC [tarif des frais judiciaires civils du 28 septembre 2010 ; BLV 270.11.5]), doivent être mis à charge des intimés, solidairement entre eux (art. 106 al. 1 CPC). Les intimés paieront, solidairement entre eux, aux appelants le montant de 1’655 fr. à titre de remboursement de leur avance de frais. Les dépens de deuxième instance sont évalués à 5'000 fr. (art. 12 al. 1 TDC [tarif des dépens en matière civile du 23 novembre 2010 ; BLV 270.11.6]). Les intimés, solidairement entre eux, verseront aux appelants le montant de 5’000 fr. à titre de dépens de deuxième instance.</w:t>
      </w:r>
    </w:p>
    <w:p>
      <w:r>
        <w:rPr>
          <w:b/>
        </w:rPr>
        <w:t>E. 7.1</w:t>
      </w:r>
    </w:p>
    <w:p>
      <w:r>
        <w:t>Selon l’art. 334 al. 1 CPC, si le dispositif de la décision est peu clair, contradictoire ou incomplet ou qu’il ne correspond pas à la motivation, le tribunal procède, sur requête ou d’office, à l’interprétation ou à la rectification de la décision. En cas d’erreurs d’écriture ou de calcul, le tribunal peut renoncer à demander aux parties de se déterminer (art. 334 al. 2, 2 ème phrase, CPC). La contradiction ou le manque de clarté doit être imputé à une formulation formellement viciée (TF 4A _393/2023 du 9 janvier 2024 consid. 4.1.1 et les références citées).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 De manière générale, on considère que le dispositif entre en contradiction avec les motifs lorsqu’il prévoit autre chose que ceux-ci.</w:t>
      </w:r>
    </w:p>
    <w:p>
      <w:r>
        <w:rPr>
          <w:b/>
        </w:rPr>
        <w:t>E. 7.2</w:t>
      </w:r>
    </w:p>
    <w:p>
      <w:r>
        <w:t>En l’occurrence, il est manifeste que le dispositif du 27 janvier 2025, adressé aux parties le 29 janvier 2025, contient une erreur de plume à son chiffre IV. En effet, le résultat de l’addition des frais judiciaires arrêtés à 1’655 fr., et des dépens évalués à 5'000 fr., parvient à un total de 6'655 fr. et non 6'555 fr. comme indiqué de manière erronée dans le dispositif non motivé du jugement. Il y a donc lieu de rectifier d’office le montant total du par les intimés aux appelants en remboursement l’avance de frais judiciaire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