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501 vom 15. Juli 2025</w:t>
      </w:r>
    </w:p>
    <w:p>
      <w:r>
        <w:t>VD Tribunal cantonal, 2025-07-15, FR</w:t>
      </w:r>
    </w:p>
    <w:p>
      <w:r>
        <w:rPr>
          <w:b/>
        </w:rPr>
        <w:t xml:space="preserve">Quelle: </w:t>
      </w:r>
      <w:r>
        <w:t>https://mcp.opencaselaw.ch/entscheid/vd_findinfo_HC___2025___501</w:t>
      </w:r>
    </w:p>
    <w:p>
      <w:r>
        <w:t>FR: VD_FINDINFO HC / 2025 / 501 du 15 juillet 2025</w:t>
      </w:r>
    </w:p>
    <w:p>
      <w:r>
        <w:t>IT: VD_FINDINFO HC / 2025 / 501 del 15 luglio 2025</w:t>
      </w:r>
    </w:p>
    <w:p>
      <w:pPr>
        <w:pStyle w:val="Heading2"/>
      </w:pPr>
      <w:r>
        <w:t>Regeste</w:t>
      </w:r>
    </w:p>
    <w:p>
      <w:r>
        <w:t>REJET DE LA DEMANDE, REVENU HYPOTHÉTIQUE, MESURE PROVISIONNELLE | 176 al. 1 ch. 1 CC, 179 al. 1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est applicable (art. 271 CPC) ; le délai pour l’introduction de l’appel est de trente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décision sujette à appel et portant sur des conclusions dont la valeur litigieuse après capitalisation (art. 92 al. 2 CPC) dépasse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2.3.1</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En effet,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4A_439/2023 du 9 septembre 2024 consid. 5.1.2).</w:t>
      </w:r>
    </w:p>
    <w:p>
      <w:r>
        <w:rPr>
          <w:b/>
        </w:rPr>
        <w:t>E. 2.3.2</w:t>
      </w:r>
    </w:p>
    <w:p>
      <w:r>
        <w:t>En l’espèce, l’appelante a produit le 16 mai 2025 un extrait du site [...] (pièce 2), censé attester du prix de l’immobilier à [...], et d’une page générée par Google IA (pièce 3) concernant le prétendu salaire mensuel moyen d’une vendeuse de vêtements dans cette même ville. S’agissant de pseudo nova , l’appelante n’allègue toutefois pas, et a fortiori ne démontre pas, que les conditions de l’art. 317 CPC seraient réalisées. Ces pièces sont par conséquent irrecevables.</w:t>
      </w:r>
    </w:p>
    <w:p>
      <w:r>
        <w:rPr>
          <w:b/>
        </w:rPr>
        <w:t>E. 3.1</w:t>
      </w:r>
    </w:p>
    <w:p>
      <w:r>
        <w:t>Selon l’art. 179 al. 1, 1 ère phr.,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(not. ATF 143 III 617 consid. 3.1 et réf. cit. ; TF 5A_253/2020 du 25 mars 2021 consid. 3.1.1 ; TF 5A_611/2019 du 29 avril 2020 consid. 4.1).</w:t>
      </w:r>
    </w:p>
    <w:p>
      <w:r>
        <w:rPr>
          <w:b/>
        </w:rPr>
        <w:t>E. 3.2</w:t>
      </w:r>
    </w:p>
    <w:p>
      <w:r>
        <w:t>; TF 5A_978/2018 du 15 avril 2019 consid. 3.1) ; l’utilisation de telles statistiques n’est pas impérative, en particulier lorsqu’un revenu concrètement existant peut fournir un point de départ (ATF 147 III 265 consid. 3.2).</w:t>
      </w:r>
    </w:p>
    <w:p>
      <w:r>
        <w:rPr>
          <w:b/>
        </w:rPr>
        <w:t>E. 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3.2.2</w:t>
      </w:r>
    </w:p>
    <w:p>
      <w:r>
        <w:t>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Pour celui qui est propriétaire d’un immeuble qu’il occupe, les charges immobilières courantes doivent être ajoutées au montant de base à la place du loyer.</w:t>
      </w:r>
    </w:p>
    <w:p>
      <w:r>
        <w:rPr>
          <w:b/>
        </w:rPr>
        <w:t>E. 3.2.3</w:t>
      </w:r>
    </w:p>
    <w:p>
      <w:r>
        <w:t>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3.2.4</w:t>
      </w:r>
    </w:p>
    <w:p>
      <w:r>
        <w:t>Si les moyens le permettent, il y a lieu d’élargir le budget à des dépenses supplémentaires, qui constituent le minimum vital du droit de la famille, en ajoutant notamment les impôts courants, estimés sur la base des calculateurs d’impôts de la Confédération, des forfaits pour la télécommunication et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w:t>
      </w:r>
    </w:p>
    <w:p>
      <w:r>
        <w:rPr>
          <w:b/>
        </w:rPr>
        <w:t>E. 3.2.5</w:t>
      </w:r>
    </w:p>
    <w:p>
      <w:r>
        <w:t>En l’espèce, le président a estimé que les conditions de l’art. 179 al. 1 CC étaient réalisées, l’appelante ayant quitté la Suisse pour s’installer en [...] et l’intimé ayant déménagé et faisant désormais ménage commun avec sa nouvelle compagne. Il se justifiait ainsi d’entrer en matière sur une éventuelle modification de la contribution d’entretien.</w:t>
      </w:r>
    </w:p>
    <w:p>
      <w:r>
        <w:rPr>
          <w:b/>
        </w:rPr>
        <w:t>E. 3.3.1.1</w:t>
      </w:r>
    </w:p>
    <w:p>
      <w:r>
        <w:t>Le président a retenu que, selon le site [...], l’indice du coût de la vie avec loyer s’élevait à 75,37 pour la Suisse et à 15,76 pour la [...], de sorte que le niveau de vie en [...] correspondait à 20,91 % du niveau de vie en Suisse. Il y avait ainsi lieu d’estimer la base mensuelle de l’appelante à 282 fr. 30. Invoquant une constatation inexacte des faits, l’appelante prétend que [...] serait notoirement la ville avec le coût le plus élevé de [...], voire d’Europe, correspondant à 37.8 % du niveau de vie en Suisse, de sorte que sa base mensuelle devrait s’élever à 510 francs. Retenir un coût de la vie moyen en [...] comme l’a fait le président ne correspondrait pas « à la réalité des faits ».</w:t>
      </w:r>
    </w:p>
    <w:p>
      <w:r>
        <w:rPr>
          <w:b/>
        </w:rPr>
        <w:t>E. 3.3.1.2</w:t>
      </w:r>
    </w:p>
    <w:p>
      <w:r>
        <w:t>Lorsque le débiteur ou le créancier d’entretien vit à l’étranger, il y a lieu de tenir compte, lors du calcul du montant de base, du niveau de vie de ce pays (TF 5A_987/2023 du 7 août 2024 consid. 4.2 publié in FamPra.ch 2024 p. 1012 ; TF 5A_685/2018 du 15 mai 2019 consid. 4.7). Ainsi, contrairement à ce que soutient l’appelante, seule la moyenne du niveau de vie dans un certain pays doit être prise en compte. Ce raisonnement est d’ailleurs transposable pour une personne domiciliée en Suisse, le montant de base de l’intéressé ne variant pas en fonction du lieu où il est domicilié. Mal fondé, ce grief doit être rejeté.</w:t>
      </w:r>
    </w:p>
    <w:p>
      <w:r>
        <w:rPr>
          <w:b/>
        </w:rPr>
        <w:t>E. 3.3.2.1</w:t>
      </w:r>
    </w:p>
    <w:p>
      <w:r>
        <w:t>L’appelante fait ensuite grief au président d’avoir retenu qu’elle était en mesure de se loger gratuitement. L’appelante rappelle qu’elle aurait de manière constante informé le président que l’appartement dont elle est propriétaire était inhabitable et qu’elle ne disposait pas de moyens pour le rénover. L’appelante fait ensuite valoir que le coût mensuel d’un appartement à [...] serait de 1'074 fr. 70, ce qui correspondrait à la pièce 105 produite en première instance indiquant que les prix de la location seraient 57.2 % plus bas qu’à [...]. L’appelante ne disposant pas de revenus, elle ne serait pas en mesure de trouver un tel appartement, n’ayant pu trouver à ce jour qu’un appartement de type Airbnb de 1'400 fr. par mois. Enfin, l’appelante tente d’établir son propre budget, qui s’élèverait à un total de 2'144 fr. 44 (minimum vital de 510 fr. 30, frais de logement de 1'400 fr., frais d’assurance-maladie de 100 fr. et frais d’assurance véhicule de 85 fr.).</w:t>
      </w:r>
    </w:p>
    <w:p>
      <w:r>
        <w:rPr>
          <w:b/>
        </w:rPr>
        <w:t>E. 3.3.2.2</w:t>
      </w:r>
    </w:p>
    <w:p>
      <w:r>
        <w:t>Le président a retenu que l’appelante avait échoué à rendre vraisemblable qu’elle ne pourrait effectivement pas habiter dans son propre logement à [...]. Partant, il a considéré que l’appelante était en mesure de s’y loger gratuitement, aucun frais de logement n’étant ainsi pris en compte dans ses charges essentielles. Cette appréciation peut être confirmée. En effet, l’appelante se contente dans son appel d’exposer sa propre vision du marché immobilier à [...], invoquant à cet égard une pièce irrecevable (pièce 2), sans fournir le moindre élément de preuve permettant de rendre son grief vraisemblable. Par ailleurs, l’appelante fait valoir – comme devant le président – des frais d’assurance-maladie (100 fr.), de véhicule (85 fr.), de télécommunications et d’assurances (49 fr. 14). Or, le président avait considéré que l’effectivité des frais d’assurance-maladie n’avait pas été démontrée, qu’il ne pouvait pas être retenu de frais de transport, l’appelante ne travaillant pas, et que l’intéressée n’avait pas rendu vraisemblable qu’elle assumait des frais de télécommunication et d’assurances privées. L’appelante se limitant dans son appel à invoquer une nouvelle fois les frais susmentionnés – sans plus ample motivation et sans les avoir rendus davantage vraisemblables, il y a lieu de confirmer l’appréciation du président.</w:t>
      </w:r>
    </w:p>
    <w:p>
      <w:r>
        <w:rPr>
          <w:b/>
        </w:rPr>
        <w:t>E. 3.3.3.1</w:t>
      </w:r>
    </w:p>
    <w:p>
      <w:r>
        <w:t>L’appelante reproche au président d’avoir retenu que le train de vie des parties du temps de la vie commune n’aurait pas été établi, celui-ci ayant été amplement documenté dans le cadre de la procédure de divorce. Elle indique que l’intimé aurait réussi à convaincre l’appelante de venir en Suisse – sans besoin de travailler – lui affirmant avoir un revenu de 15'000 fr. par mois qui leur permettrait de vivre largement dans une maison dont le loyer mensuel, charges comprises, était de 4'495 fr. 75. Elle en déduit que l’intimé serait largement en mesure de contribuer à son entretien à hauteur de 2'144 fr. 44, montant correspondant à son minimum vital du droit de la famille et qui serait plus de deux fois inférieur au loyer dont s’acquittaient les parties durant la vie commune.</w:t>
      </w:r>
    </w:p>
    <w:p>
      <w:r>
        <w:rPr>
          <w:b/>
        </w:rPr>
        <w:t>E. 3.3.3.2</w:t>
      </w:r>
    </w:p>
    <w:p>
      <w:r>
        <w:t>Le président a retenu que le train de vie des parties n’avait pas été établi, et a procédé au calcul du budget de l’appelante selon la méthode du minimum vital prescrite par le droit fédéral. Il a ainsi retenu que la seule charge qui avait été rendue vraisemblable par l’appelante était sa base mensuelle de 282 fr. 30. En l’espèce, il est relevé que dans son écriture du 12 mars 2025 déposée en première instance, l’appelante ne fait nullement référence au train de vie des époux du temps de la vie commune, se limitant à lister ses prétendues charges mensuelles (cf. all. 40). C’est ainsi à juste titre que le président a retenu que le train de vie des parties n’avait pas été établi et qu’il a procédé au calcul du budget de l’appelante selon la méthode du minimum vital, comme l’avait d’ailleurs fait la Juge unique de la Cour de céans dans son arrêt du 25 septembre 2023, les éléments soulevés par l’appelante s’agissant du montant du loyer du logement conjugal et des revenus de l’intimé – de surcroît sans référence à une quelconque pièce au dossier – ne justifiant pas de revenir sur cette appréciation.</w:t>
      </w:r>
    </w:p>
    <w:p>
      <w:r>
        <w:rPr>
          <w:b/>
        </w:rPr>
        <w:t>E. 4.1</w:t>
      </w:r>
    </w:p>
    <w:p>
      <w:r>
        <w:t>L’appelante plaide une violation du droit en ce qui concerne le revenu hypothétique qui lui a été imputé. Elle expose de manière confuse que le président n’aurait pas précisé pour quel métier et pour quel salaire un tel revenu lui était imputé. L’appelante pourrait selon elle travailler comme vendeuse pour un salaire mensuel de 350 fr., en se fondant sur la pièce 3 produite en appel, ce qui ne couvrirait pas son déficit de 1'794 francs.</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4.2.2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4.2.3</w:t>
      </w:r>
    </w:p>
    <w:p>
      <w:r>
        <w:t>On est en droit d’attendre d’un parent gardien d’enfants mineurs qu’il recommence à travailler, en principe, à 50 % dès l’entrée de l’enfant à l’école obligatoire, à 80 % à partir du moment où celui-ci entre au degré secondaire et à plein temps dès la fin de la seizième année de l’enfant (ATF 144 III 481 consid. 4.7.6, JdT 2019 II 179). La perte de capacité de travail du parent gardien et le déficit en résultant doivent être assumés par l’autre parent de l’enfant concerné, dans la mesure où celui-ci les occasionne (TF 5A_378/2021 du 7 septembre 2022 consid. 8.4 et réf. cit.). Un parent n’a aucune obligation directe d’entretien en faveur d’un enfant né d’une autre relation de l’autre parent ; si le débiteur d’une contribution de prise en charge n’est pas en mesure de s’en acquitter, le relais doit être pris par la collectivité publique (cf. Stoudmann, Le divorce en pratique, 3 e éd., Lausanne 2025, pp. 320-321).</w:t>
      </w:r>
    </w:p>
    <w:p>
      <w:r>
        <w:rPr>
          <w:b/>
        </w:rPr>
        <w:t>E. 4.3</w:t>
      </w:r>
    </w:p>
    <w:p>
      <w:r>
        <w:t>Le président a considéré qu’à l’instar de ce qu’avait retenu la Juge unique de la Cour de céans dans son arrêt du 25 septembre 2023, le principe selon lequel chaque époux doit épuiser sa capacité à couvrir son propre entretien devait s’appliquer en l’espèce, et ce malgré le jeune âge de l’enfant [...], qui n’est pas issu des œuvres de l’intimé, et le fait que l’appelante devait s’en occuper. En effet, si l’on ne pouvait pas attendre de l’appelante qu’elle travaille, il n’appartenait pas à l’intimé de pallier le déficit dû à la prise en charge de l’enfant dont souffrait l’appelante, ce déficit faisant partie des coûts directs et indirects de l’enfant qu’il appartenait au père de couvrir. Une incapacité de travail de l’appelante devait ainsi être niée. Partant, le président a considéré que l’on pouvait raisonnablement tenir pour établi que si l’appelante réalisait le revenu qui était attendu d’elle, celle-ci couvrirait largement son déficit mensuel de 282 fr. 30. Par ailleurs, dans son arrêt du 25 septembre 2023, la Juge unique de la Cour de céans avait retenu qu’il y avait lieu d’imputer un revenu hypothétique à l’appelante, estimant que celle-ci était en mesure d’exercer une activité dans le domaine de la vente et d’en tirer un revenu mensuel net de 3'532 fr. 05, à compter du 1 er octobre 2023. En l’espèce, certes, on peut admettre que le montant de ce revenu hypothétique doit être revu dès lors que l’appelante vit désormais en [...]. L’appelante soutient qu’elle pourrait travailler comme vendeuse pour un salaire de 350 fr., sur la base de la pièce 3 produite en appel, qui est irrecevable (cf. supra ch. 2.3.2). Cela étant, même à suivre l’appelante en retenant un revenu hypothétique particulièrement bas, l’appelante serait largement en mesure de couvrir sa seule charge rendue vraisemblable, soit sa base mensuelle de 282 fr. 30. Mal fondé, le grief doit être rejeté.</w:t>
      </w:r>
    </w:p>
    <w:p>
      <w:r>
        <w:rPr>
          <w:b/>
        </w:rPr>
        <w:t>E. 5.1</w:t>
      </w:r>
    </w:p>
    <w:p>
      <w:r>
        <w:t>En définitive, l’appel, manifestement infondé, doit être rejeté en application de l’art. 312 al. 1 in fine CPC et l’ordonnance confirmée.</w:t>
      </w:r>
    </w:p>
    <w:p>
      <w:r>
        <w:rPr>
          <w:b/>
        </w:rPr>
        <w:t>E. 5.2</w:t>
      </w:r>
    </w:p>
    <w:p>
      <w:r>
        <w:t>La requête d’assistance judiciaire de l’appelante doit être rejetée, l’appel étant, pour les motifs qui précèdent (cf. supra consid. 3 et 4), d’emblée dénué de chance de succès, de sorte qu’il n’aurait pas été formé par un plaideur raisonnable (art. 117 let. b CPC). Les conditions de l’art. 117 CPC étant cumulatives (TF 5A_396/2018 du 29 juin 2018 consid. 5.1), il n’y a pas lieu d’examiner l’éventuelle indigence de l’appelante.</w:t>
      </w:r>
    </w:p>
    <w:p>
      <w:r>
        <w:rPr>
          <w:b/>
        </w:rPr>
        <w:t>E. 5.3</w:t>
      </w:r>
    </w:p>
    <w:p>
      <w:r>
        <w:t>Les frais judiciaires de deuxième instance sont arrêtés à 600 fr. (art. 65 al. 2 TFJC [tarif des frais judiciaires civils du 28 septembre 2010 ; BLV 270.11.5]) et seront mis à la charge de l’appelante, qui succombe (art. 106 al. 1 CPC). Il n’y a pas lieu à l’allocation de dépens de deuxième instance, l’intimé n’ayant pas été invité à se déterminer. Par ces motifs, la Juge unique de la Cour d’appel civile prononce : I. L’appel est rejeté. II. L’ordonnance est confirmée. III. La requête d’assistance judiciaire de l’appelante W.________ est rejetée. IV. Les frais judiciaires de deuxième instance, arrêtés à 600 fr. (six cents francs), sont mis à la charge de l’appelante W.________. V. L’arrêt est exécutoire. La juge unique :               Le greffier : Du Le présent arrêt, dont la rédaction a été approuvée à huis clos, est notifié en expédition complète à : ‑ Me Carola Massatsch (pour W.________) ‑ Me Alexandre de Gorski (pour K.________)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