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494 vom 3. Juli 2025</w:t>
      </w:r>
    </w:p>
    <w:p>
      <w:r>
        <w:t>VD Tribunal cantonal, 2025-07-03, FR</w:t>
      </w:r>
    </w:p>
    <w:p>
      <w:r>
        <w:rPr>
          <w:b/>
        </w:rPr>
        <w:t xml:space="preserve">Quelle: </w:t>
      </w:r>
      <w:r>
        <w:t>https://mcp.opencaselaw.ch/entscheid/vd_findinfo_HC___2025___494</w:t>
      </w:r>
    </w:p>
    <w:p>
      <w:r>
        <w:t>FR: VD_FINDINFO HC / 2025 / 494 du 3 juillet 2025</w:t>
      </w:r>
    </w:p>
    <w:p>
      <w:r>
        <w:t>IT: VD_FINDINFO HC / 2025 / 494 del 3 luglio 2025</w:t>
      </w:r>
    </w:p>
    <w:p>
      <w:pPr>
        <w:pStyle w:val="Heading2"/>
      </w:pPr>
      <w:r>
        <w:t>Erwägungen</w:t>
      </w:r>
    </w:p>
    <w:p>
      <w:r>
        <w:rPr>
          <w:b/>
        </w:rPr>
        <w:t>E. 1.1.1</w:t>
      </w:r>
    </w:p>
    <w:p>
      <w:r>
        <w:t>Selon l’art. 315 al. 2 let. b CPC (Code de procédure civile du 19 décembre 2008 ; RS 272), l’appel n’a pas d’effet suspensif lorsqu’il a pour objet des décisions portant sur des mesures provisionnelles. L’instance d’appel peut exceptionnellement suspendre le caractère exécutoire si la partie concernée risque de subir un préjudice difficilement réparable (art. 315 al. 4 let. b CPC).</w:t>
      </w:r>
    </w:p>
    <w:p>
      <w:r>
        <w:rPr>
          <w:b/>
        </w:rPr>
        <w:t>E. 1.1.2</w:t>
      </w:r>
    </w:p>
    <w:p>
      <w:r>
        <w:t>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138 III 378 consid. 6.3 ; TF 5A_303/2020 du 4 août 2020 consid. 3.1.1).</w:t>
      </w:r>
    </w:p>
    <w:p>
      <w:r>
        <w:rPr>
          <w:b/>
        </w:rPr>
        <w:t>E. 1.1.3</w:t>
      </w:r>
    </w:p>
    <w:p>
      <w:r>
        <w:t>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5A_500/2022 du 28 septembre 2022 consid. 4.1). Saisie d’une demande d’effet suspensif,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 TF 5A_718/2022 du 23 novembre 2022 consid. 5.1).</w:t>
      </w:r>
    </w:p>
    <w:p>
      <w:r>
        <w:rPr>
          <w:b/>
        </w:rPr>
        <w:t>E. 1.1.4</w:t>
      </w:r>
    </w:p>
    <w:p>
      <w:r>
        <w:t>Conformément à l'art. 311 al. 1 CPC, l'appel doit être motivé, sous peine d’irrecevabilité (ATF 147 III 176 consid. 4.2.1, RSPC 2021 p. 252 ; TF 4A_439/2023 du 9 septembre 2024 consid. 4.1.1 ; TF 5A_647/2023 du 5 mars 2024 consid. 5.2 ; TF 4A_462/2022 du 6 mars 2023 consid. 5.1.1). Cette exigence vaut également lorsqu'il s'agit de démontrer – ou à tout le moins de rendre vraisemblable – l'existence d'un préjudice difficilement réparable justifiant l’octroi de l’effet suspensif (Juge unique CACI 22 juin 2023/ES56 consid. 4.4.1 ; Juge unique CACI 18 mai 2021/ES17 consid. 4.2).</w:t>
      </w:r>
    </w:p>
    <w:p>
      <w:r>
        <w:rPr>
          <w:b/>
        </w:rPr>
        <w:t>E. 1.2</w:t>
      </w:r>
    </w:p>
    <w:p>
      <w:r>
        <w:t>En matière de garde, des changements trop fréquents peuvent être préjudiciables à l’intérêt de l’enfant.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(ATF 144 III 469 consid. 4.2.1 ; ATF 138 III 565 consid. 4.3.2 ; TF 5A_223/2022 du 29 août 2022 consid., 3.1.1). La requête d’effet suspensif du parent qui entend conserver la garde doit ainsi être admise, sauf si le maintien de la situation antérieure met en péril le bien de l’enfant ou encore si l’appel paraît sur ce point d’emblée irrecevable ou manifestement infondé ( ibidem ).</w:t>
      </w:r>
    </w:p>
    <w:p>
      <w:r>
        <w:rPr>
          <w:b/>
        </w:rPr>
        <w:t>E. 1.3</w:t>
      </w:r>
    </w:p>
    <w:p>
      <w:r>
        <w:t>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(TF 5A_56/2019 du 9 mai 2019 consid. 1.2.1; TF 5A_233/2016 du 26 mai 2016 consid. 1.3.2.2 ; TF 5A_468/2012 du 14 août 2012). Il n’est ainsi pas arbitraire de refuser l’effet suspensif lorsque le débiteur dispose d'un compte bancaire lui permettant de s'acquitter des arriérés de contributions d'entretien litigieux, sans qu’il soit établi que la situation du créancier soit meilleure (cf. TF 5A_718/2022 du 23 novembre 2022 consid. 5.3). L’obligation d’entretien trouve toutefois sa limite inférieure dans la capacité contributive du débirentier, en ce sens que le minimum vital du droit des poursuites de celui-ci doit être préservé (ATF 140 III 337 consid. 4.3 ; TF 5A_59/2024 du 9 octobre 2024 consid. 3.1.1).</w:t>
      </w:r>
    </w:p>
    <w:p>
      <w:r>
        <w:rPr>
          <w:b/>
        </w:rPr>
        <w:t>E. 2.1</w:t>
      </w:r>
    </w:p>
    <w:p>
      <w:r>
        <w:t>L’appelant sollicite l’octroi de l’effet suspensif sur la question de l’attribution du domicile conjugal, du droit de garde sur les enfants Y.________ et H.________ et sur la fixation du lieu de résidence de l’enfant H.________. Il soutient que la première juge s’est manifestement trompée en attribuant la jouissance du domicile conjugal à l’intimée ainsi que la garde exclusive de l’enfant H.________ à celle-ci, séparant de ce fait la fratrie. Quant à la garde alternée sur Y.________, il relève qu’elle est de nature à perturber fortement l’enfant qui a manifesté sa grande inquiétude à l’idée de se déplacer aussi souvent en semaine. Enfin, il soutient que rien ne justifie d’attribuer le droit de déterminer le lieu de résidence de H.________ à l’intimée sans aucune motivation ni même conclusion des parties en ce sens, alors même qu’il s’agit manifestement d’une composante de l’autorité parentale et non de la garde.</w:t>
      </w:r>
    </w:p>
    <w:p>
      <w:r>
        <w:rPr>
          <w:b/>
        </w:rPr>
        <w:t>E. 2.2</w:t>
      </w:r>
    </w:p>
    <w:p>
      <w:r>
        <w:t>En l’occurrence, l’appelant semble se méprendre sur la portée de l’effet suspensif. En effet, l’octroi de l’effet suspensif permet de maintenir le statu quo , soit la situation prévalant avant que l’ordonnance entreprise ne soit rendue. Or, s’agissant de la garde, aucun système n’était mis en place précédemment puisque les parties vivaient encore sous le même toit. En l’absence d’un tel système, par une requête d’effet suspensif, l’appelant ne peut que demander le rétablissement de la situation antérieure, soit que les parties et les enfants vivent ensemble dans le logement conjugal. L’appelant semble toutefois requérir un changement du système de garde prévu par l’ordonnance querellée pour les deux enfants. Ainsi, par le biais de sa requête d’effet suspensif, l’appelant tente vainement d’obtenir l’exécution anticipée de ses conclusions au fond, ce qui n’est pas admissible dans le cadre d’une requête d’effet suspensif. On ne saurait à ce stade préjuger dans un sens ou dans l’autre des moyens soulevés dans l’appel. A titre superfétatoire, l’on précisera que l’intérêt des enfants, lequel prime celui de leurs parents (ATF 142 III 617 consid. 3.2.3, FamPra.ch 2017 351 ; ATF 141 III 328 consid. 5.4, JdT 2016 II 179, FamPra.ch 2016 p. 219), commande le maintien de la garde tel qu’ordonné par la première juge le temps de la procédure d’appel. En effet, H.________ a toujours vécu dans le logement conjugal des parties. Or, celui-ci a été attribué à la mère et il est dans l’intérêt de l’enfant qu’il puisse y rester, ce d’autant plus que le nouveau domicile de l’appelant n’est pas encore connu à ce jour. Enfin, le bien-être des enfants ne paraît à priori pas compromis par rapport aux relations personnelles qu’ils ont avec leur père dans la mesure où ils continueront de voir celui-ci, au vu du droit de visite dont il bénéficie sur H.________ et de la garde alternée sur Y.________. Ensuite, s’agissant de l’octroi de l’effet suspensif sur l’attribution du domicile conjugal, celui-ci ne pourrait tendre qu’à ce que l’appelant ne soit pas obligé de quitter le domicile et que les parties continuent de vivre ensemble dans le logement. Toutefois, si l’appelant allègue subir un préjudice difficilement réparable, il n’en explique pas les raisons, en faisant notamment valoir qu’il ne pourrait pas se reloger provisoirement (auprès des membres de la famille, des amis ou dans un hôtel) pendant la durée de la procédure d’appel. Il ne rend ainsi pas vraisemblable l’existence d’un préjudice difficilement réparable au sens de l’art. 315 al. 4 let. b CPC. Pour ces raisons, la requête d’effet suspensif doit être rejetée.</w:t>
      </w:r>
    </w:p>
    <w:p>
      <w:r>
        <w:rPr>
          <w:b/>
        </w:rPr>
        <w:t>E. 3.1</w:t>
      </w:r>
    </w:p>
    <w:p>
      <w:r>
        <w:t>L’appelant sollicite également l’octroi de l’effet suspensif pour le versement des contributions d’entretien en faveur de son épouse et de ses enfants. Il fait valoir que les contributions d’entretien fixées, outre le fait qu’elles sont erronées, sont conditionnées à son départ du domicile conjugal. Il soutient également que les pensions sont manifestement exagérées et qu’il ne pourra pas s’en acquitter. Au surplus, il ne se justifie pas selon lui de le condamner au paiement d’une quelconque contribution d’entretien en faveur de ses enfants et de son épouse.</w:t>
      </w:r>
    </w:p>
    <w:p>
      <w:r>
        <w:rPr>
          <w:b/>
        </w:rPr>
        <w:t>E. 3.2</w:t>
      </w:r>
    </w:p>
    <w:p>
      <w:r>
        <w:t>En premier lieu, il est rappelé que la requête d’effet suspensif est rejetée s’agissant de l’attribution du logement conjugal (cf. consid. 2.2 supra ). L’argument de l’appelant selon lequel l’effet suspensif doit lui être accordé sur les contributions d’entretien puisque celles-ci sont conditionnées au fait qu’il quitte le domicile conjugal est dès lors sans objet. En outre, l’appelant ne dit pas, et démontre encore moins, qu’il subirait un préjudice irréparable au sens de l’art. 315 al.</w:t>
      </w:r>
    </w:p>
    <w:p>
      <w:r>
        <w:rPr>
          <w:b/>
        </w:rPr>
        <w:t>E. 4</w:t>
      </w:r>
    </w:p>
    <w:p>
      <w:r>
        <w:t>En définitive, la requête d’effet suspensif doit être rejetée. Il sera statué sur les frais judiciaires et les dépens dans le cadre de l’arrêt sur appel à intervenir (cf. art. 104 al. 3 CPC). Par ces motifs, la Juge unique de la Cour d’appel civile, prononce : I. La requête d’effet suspensif est rejetée. II. Il sera statué sur les frais judiciaires et les dépens de la présente ordonnance dans le cadre de l’arrêt sur appel à intervenir. La juge unique :               La greffière : Du La présente ordonnance, dont la rédaction a été approuvée à huis clos, est notifiée à : ‑ Me Sonia Ryser (A.U.________), ‑ Me Sarah El-Abshihy (pour B.U.________) et communiquée, par l'envoi de photocopies, à : ‑ Mme la Présidente du Tribunal d’arrondissement de l’Est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