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490 vom 14. Juli 2025</w:t>
      </w:r>
    </w:p>
    <w:p>
      <w:r>
        <w:t>VD Tribunal cantonal, 2025-07-14, FR</w:t>
      </w:r>
    </w:p>
    <w:p>
      <w:r>
        <w:rPr>
          <w:b/>
        </w:rPr>
        <w:t xml:space="preserve">Quelle: </w:t>
      </w:r>
      <w:r>
        <w:t>https://mcp.opencaselaw.ch/entscheid/vd_findinfo_HC___2025___490</w:t>
      </w:r>
    </w:p>
    <w:p>
      <w:r>
        <w:t>FR: VD_FINDINFO HC / 2025 / 490 du 14 juillet 2025</w:t>
      </w:r>
    </w:p>
    <w:p>
      <w:r>
        <w:t>IT: VD_FINDINFO HC / 2025 / 490 del 14 luglio 2025</w:t>
      </w:r>
    </w:p>
    <w:p>
      <w:pPr>
        <w:pStyle w:val="Heading2"/>
      </w:pPr>
      <w:r>
        <w:t>Regeste</w:t>
      </w:r>
    </w:p>
    <w:p>
      <w:r>
        <w:t>REJET DE LA DEMANDE, REVENU HYPOTHÉTIQUE, INCAPACITÉ DE TRAVAIL | 286 al. 2 CC</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notamment sur des conclusions qui, capitalisées selon l’art. 92 al. 2 CPC, sont supérieures à 10'000 fr., l’appel est recevable. Déposée en temps utile et dans les formes prescrites, la réponse l’est également.</w:t>
      </w:r>
    </w:p>
    <w:p>
      <w:r>
        <w:rPr>
          <w:b/>
        </w:rPr>
        <w:t>E. 2</w:t>
      </w:r>
    </w:p>
    <w:p>
      <w:r>
        <w:t>et réf. cit. ; Jeandin, op. cit., n. 6 ad art. 310 CPC).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Elle peut revoir librement la constatation des faits sur la base des preuves administrées en première instance (JdT 2011 III 43 consid.</w:t>
      </w:r>
    </w:p>
    <w:p>
      <w:r>
        <w:rPr>
          <w:b/>
        </w:rPr>
        <w:t>E. 2.2</w:t>
      </w:r>
    </w:p>
    <w:p>
      <w:r>
        <w:t>L’appel doit être motivé (art. 311 al. 1 CPC), soit démontrer le caractère erroné de la motivation attaquée. L’appelant doit expliquer en quoi son argumentation peut influer sur la solution retenue par les premiers juges (TF 4A_474/2013 du 10 mars 2014 consid. 3.1 ; TF 5A_438/2012 du 27 août 2012 consid. 2.2,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4A_168/2022 du 10 juin 2022 consid. 5.2 ; TF 4A_610/2018 du 29 août 2019 consid. 5.2.2.1).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4A_624/2021 du 8 avril 2022 consid. 5.1 ; TF 4A_610/2018 précité consid. 5.2.2.1 ; TF 5A_209/2014 du 2 septembre 2014 consid. 4.2.1). Les exigences de motivation doivent aussi être observées dans les procédures soumises à la maxime inquisitoire (ATF 138 III 374 consid. 4.3.1 ; TF 4A_476/2015 du 11 janvier 2016 consid. 3, RSPC 2016 p. 190). En outre, à l’instar de l’acte introductif d’instance, l’acte d’appel doit contenir des conclusions au fond. Il faut donc que l’appelant explicite dans quelle mesure la décision attaquée doit être modifiée ou annulée (ATF 137 III 617 consid. 4.2.2, JdT 2014 Il 187 ; TF 5A_978/2018 du 15 avril 2019 consid. 1.2 ; JdT 2012 III 23 et réf. cit.),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 TF 4A_426/2019 du 12 septembre 2019 consid. 5.1 ; JdT 2012 III 23). S’agissant de conclusions pécuniaires, l’appel doit en outre contenir des conclusions chiffrées (ATF 137 III 617 précité consid. 4 ; TF 5A_978/2018 précité consid. 1.2).</w:t>
      </w:r>
    </w:p>
    <w:p>
      <w:r>
        <w:rPr>
          <w:b/>
        </w:rPr>
        <w:t>E. 3.1</w:t>
      </w:r>
    </w:p>
    <w:p>
      <w:r>
        <w:t>L'appelant reproche tout d'abord à la présidente de ne pas avoir retenu que son incapacité partielle de travail était établie, alors que l'office Al et son médecin traitant avaient considéré que sa capacité de travail serait uniquement exigible dans une activité adaptée à son état de santé, ce qui limiterait singulièrement les possibilités d'emploi et de travail, donc de rémunération. Alors qu'il avait été auparavant employé à plein temps en qualité d'aide de cuisine durant de nombreuses années, il ne serait plus en mesure de réaliser le revenu qu'il percevait durant cette activité. Même si l'office AI, dans sa décision finale du 26 septembre 2022, aurait refusé toute prestation, cette autorité aurait néanmoins relevé que ses limitations fonctionnelles, constatées médicalement, l'empêchaient de porter des charges, de fléchir le tronc et d'évoluer sur du terrain irrégulier, ce qui l'empêchait d'exercer nombre d'emplois « subalternes ». Ainsi, cette autorité ne constatait pas une capacité complète et sans limite de ses possibilités de travail. Etant sans formation, il lui serait difficile de quitter le seul secteur économique dans lequel il évoluait précédemment. On ne pourrait dès lors lui reprocher, comme la présidente, d'avoir continué à postuler dans le domaine de l'aide en cuisine et ne pas avoir entrepris tout ce qui pouvait raisonnablement être exigé de lui pour trouver un emploi dans un autre domaine professionnel. Le revenu hypothétique arrêté par la présidente, quasiment identique à celui qui était le sien lors du divorce, ne serait pas réaliste et il conviendrait plutôt de se fonder sur un revenu de l'ordre de 2'600 fr. correspondant aux indemnités de chômage qu'il percevrait désormais grâce à un emploi partiel qu'il aurait trouvé en 2023, toujours dans le même domaine de l'aide en cuisine.</w:t>
      </w:r>
    </w:p>
    <w:p>
      <w:r>
        <w:rPr>
          <w:b/>
        </w:rPr>
        <w:t>E. 3.2.1</w:t>
      </w:r>
    </w:p>
    <w:p>
      <w:r>
        <w:t>Selon l'art. 286 al. 2 CC, applicable par le renvoi de l'art. 134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TF 5A_794/2020 du 3 décembre 2021 consid. 3.1). Le caractère notable de la modification alléguée se détermine in concreto , en fonction de chaque cas particulier, en comparant les situations avant et après le changement de circonstances (TF 5A_917/2015 du 4 mars 2016 consid. 3 ; TF 5A_93/2011 du 13 septembre 2011 consid. 6.1). Des comparaisons en pourcentage des revenus peuvent représenter un indice utile, mais ne dispensent pas le juge d’une analyse concrète du cas d’espèce (TF 5A_93/2011 du 13 septembre 2011 consid. 6.1 précité).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 Pichonnaz, Commentaire romand, Code civil I, Bâle 2010, n. 33 ad art. 129 CC).</w:t>
      </w:r>
    </w:p>
    <w:p>
      <w:r>
        <w:rPr>
          <w:b/>
        </w:rPr>
        <w:t>E. 3.2.2.1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réf. cit.).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réf. cit.).</w:t>
      </w:r>
    </w:p>
    <w:p>
      <w:r>
        <w:rPr>
          <w:b/>
        </w:rPr>
        <w:t>E. 3.2.2.2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(not. ATF 137 III 118 consid. 3. 1, JdT 2011 II 486 ; TF 5A_461/2019 du 6 mars 2020 consid. 3.1, publié in FamPra.ch 2020 p. 488 ; TF 5A_764/2017 du 7 mars 2018 consid. 3.2). Dans l'examen de l'imputation d'un revenu hypothétique, le caractère inexigible de l'exercice d'une activité lucrative pour des raisons de santé n'est pas subordonné à ce que les conditions d'obtention d'une rente d'invalidité soient remplies (TF 5A_1040/2020 du 8 juin 2021 consid. 3.1 ; TF 5A_726/2011 du 11 janvier 2017 consid. 4.1 ; TF 5A_360/2016 du 27 octobre 2016 consid. 3.1 in fine ).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5A_1040/2020 du 8 juin 2021 consid. 3.1 ; TF 5A_266/2017 du 29 novembre 2017 consid. 6.3 ; TF 5A 239/2017 du 14 septembre 2017 consid. 2.4, publié in FamPra.ch 2018 p. 212). Une attestation médicale qui relève l'existence d'une incapacité de travail sans autres explications n'a ainsi pas une grande force probante (TF 5A_1040/2020 du 8 juin 2021 consid. 3.1 ; TF 5A_239/2017 précité loc. cit. ).</w:t>
      </w:r>
    </w:p>
    <w:p>
      <w:r>
        <w:rPr>
          <w:b/>
        </w:rPr>
        <w:t>E. 3.2.2.3</w:t>
      </w:r>
    </w:p>
    <w:p>
      <w:r>
        <w:t>Pour arrêter le montant du salaire, le juge peut se baser sur le calculateur de salaires du Secrétariat d’Etat à l’économie, sur l'enquête suisse sur la structure des salaires, réalisée par l'Office fédéral de la statistique (not. ATF 137 III 118 consid. 3.2, JdT 2011 II 486 ; TF 5A_613/2022 du 2 février 2023 consid. 4.1.1 ; TF 5A_464/2022 du 31 janvier 2023 consid. 3.1.2), et sur le calculateur de salaires « Salarium » élaboré et mis à disposition par cet office (TF 5A_613/2022 du 2 février 2023 consid. 4.4.2 ; TF 5A_712/2021 du 23 mai 2022 consid. 4.3).</w:t>
      </w:r>
    </w:p>
    <w:p>
      <w:r>
        <w:rPr>
          <w:b/>
        </w:rPr>
        <w:t>E. 3.3</w:t>
      </w:r>
    </w:p>
    <w:p>
      <w:r>
        <w:t>En l'espèce, l’appelant conteste l'appréciation de la présidente selon laquelle un revenu hypothétique doit lui être imputé pour le motif qu'il a sa pleine capacité de travail dans un autre domaine d'activité que celui de l'aide en cuisine. En premier lieu, il convient de relever qu'il procède surtout par affirmations et par de multiples répétitions, sans prendre véritablement appui sur le raisonnement de la présidente s'agissant notamment de sa responsabilité directe et exclusive quant à la fin de ses précédents contrats de travail (démission de sa propre volonté ou licenciement en raison de la qualité non satisfaisante de son travail) et des éléments concrets permettant d'admettre qu'il n'avait jamais réellement eu l'intention de s'acquitter des contributions d'entretien en faveur de ses enfants. De surcroît, l’appelant ne critique pas le constat de la présidente selon lequel il n'a pas accepté l'aide proposée par l’office AI pour trouver un emploi dans le domaine de la production et des services. Sur ces éléments essentiels, l'appel souffre d'un défaut de motivation. Par ailleurs, comme le relève justement l'intimée, il est pour le moins contradictoire d'invoquer d'une part ses limitations et de soutenir d'autre part que l'on ne peut lui reprocher d'avoir cherché un emploi dans le seul domaine où il est en mesure de travailler régulièrement. Il n'a d'ailleurs pas produit le moindre justificatif en deuxième instance faisant état de recherches soutenues après l'audience du 6 mars 2023 en vue de trouver un emploi. Il est enfin assez révélateur que l’appelant invoque bénéficier de prestations de chômage après « une période d'emploi résiduel », ce qui démontre qu'il est bien en mesure de travailler dans le domaine de l'aide en cuisine et qu'il paraît toujours privilégier des postes à temps partiel, plutôt que d'étendre ses recherches à d'autres secteurs. Dans ce contexte, c'est à bon droit que la présidente lui a imputé un revenu hypothétique et, sur ce point, l’appelant n'expose pas non plus en quoi les calculs précis effectués par l'office Al pour arrêter un revenu mensuel brut théorique de 5'660 fr. dans le domaine de la production ou des services ne nécessitant aucune formation, montant repris par la présidente, serait erroné. Mal fondé, ce grief doit être rejeté dans la mesure de sa recevabilité.</w:t>
      </w:r>
    </w:p>
    <w:p>
      <w:r>
        <w:rPr>
          <w:b/>
        </w:rPr>
        <w:t>E. 4.1</w:t>
      </w:r>
    </w:p>
    <w:p>
      <w:r>
        <w:t>L'appelant soutient également que le montant de 9'000 fr. alloué par la présidente à l'intimée à titre de dépens serait beaucoup trop élevé par rapport à la quotité de l'indemnité d'office de son conseil, qui est de 4'886 fr. 25. Cette fixation de dépens serait totalement arbitraire et sans la moindre référence à une liste d'opérations, comme une sorte de sanction infligée pour avoir fait valoir ses droits en justice. Il invoque en outre sur ce point que l'intimée avait pris dans sa réponse des conclusions actives en augmentation de la contribution prévue pour les enfants et qui auraient été rejetées implicitement. Il conviendrait donc de tenir compte de cet échec partiel de l'intimée en première instance et de compenser les dépens.</w:t>
      </w:r>
    </w:p>
    <w:p>
      <w:r>
        <w:rPr>
          <w:b/>
        </w:rPr>
        <w:t>E. 4.2.1</w:t>
      </w:r>
    </w:p>
    <w:p>
      <w:r>
        <w:t>L'art. 106 al. 1 CPC prévoit que les frais sont mis à la charge de la partie succombante. Les frais comprennent les frais judiciaires et les dépens (art. 95 al. 1 CPC), soit les débours nécessaires et le défraiement d'un représentant professionnel notamment (art. 95 al. 3 let. a et b CPC). Les dépens sont une indemnité de procédure mise à la charge d'un plaideur en faveur de l'autre pour le dédommager des dépenses ou du manque à gagner occasionné par le procès (CACI 27 septembre 2017/438 et réf. cit.). Ils comprennent les débours nécessaires et le défraiement d'un représentant professionnel (art. 95 al. 3 CPC). Le juge fixe les dépens selon le tarif du 23 novembre 2010 des dépens en matière civile ([TDC ; BLV 270.11.6] ; art. 105 al. 2 CPC).</w:t>
      </w:r>
    </w:p>
    <w:p>
      <w:r>
        <w:rPr>
          <w:b/>
        </w:rPr>
        <w:t>E. 4.2.2</w:t>
      </w:r>
    </w:p>
    <w:p>
      <w:r>
        <w:t>Lorsque la protection de l'enfant proprement dite n'est pas en jeu, par exemple lorsque la cause concerne uniquement un point accessoire comme l'attribution des frais, la maxime d'office ne s'applique pas (Juge unique CACI 8 juin 2023/232 consid. 4.2 ; CCUR 15 mai 2019/90 consid. 1.2.3 et réf. cit.). La maxime de disposition (art. 58 al. 1 CPC) est ainsi applicable en ce qui concerne les dépens (TF 4A_376/2020 du 28 décembre 2020 consid. 6.2.2 ; TF 4A_465/2016 du 15 novembre 2016 consid. 4.2). Les dépens ne sont dès lors pas alloués d'office mais seulement sur requête. Faute d'une conclusion correspondante, l'octroi de dépens viole l'art. 105 CPC (ATF 140 III 444 consid. 3.2.2 ; ATF 139 III 334 consid. 4.3). En outre, le recours qui porte sur l'octroi de dépens doit être chiffré sous peine d'irrecevabilité (CREC 28 novembre 2014/422). 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4A_35/2015 du 12 juin 2015 consid. 3.2. et 3.3). De même est irrecevable une conclusion tendant à ce que les frais, même en cas de rejet de l'appel au fond, soient calculés « sur la base des intérêts moratoires » (TF 5A_825/2016 du 28 février 2017 consid. 3.3).</w:t>
      </w:r>
    </w:p>
    <w:p>
      <w:r>
        <w:rPr>
          <w:b/>
        </w:rPr>
        <w:t>E. 4.3</w:t>
      </w:r>
    </w:p>
    <w:p>
      <w:r>
        <w:t>En l'espèce, l’appelant n'a pas articulé de conclusion spécifique sur les dépens de première instance, son acte comportant uniquement l'expression « sous suite de frais et dépens, de première et de seconde instance ». Toutefois, comme relevé plus haut, son moyen à cet égard tend à ce que les dépens soient compensés. Il n'est pas certain que cela soit suffisant pour admettre la recevabilité de l'appel sur ce point mais la question peut être laissée ouverte, l'argumentation de l’appelant sur le fond ne convaincant pas. En premier lieu, la conclusion reconventionnelle de l'intimée en première instance a uniquement été prise à titre subsidiaire et elle n'a pas été examinée par le premier juge, vu que celui-ci a purement et simplement rejeté la demande en modification de jugement de divorce. Il est donc totalement inexact que l'intimée a succombé partiellement en première instance. De surcroît, l’appelant semble ignorer que les dépens ne sont pas calculés sur la base du tarif horaire de l'assistance judiciaire (180 fr.) mais sur la base d'un tarif horaire supérieur, s'élevant en pratique à 350 francs. Il en découle que les dépens sont supérieurs aux indemnités de l’assistance judiciaire. Pour le surplus, une fois encore, l’appelant ne dit rien de concret et son grief est irrecevable. En définitive, l’appel formé par A.P.________ doit être rejeté, dans la mesure de sa recevabilité.</w:t>
      </w:r>
    </w:p>
    <w:p>
      <w:r>
        <w:rPr>
          <w:b/>
        </w:rPr>
        <w:t>E. 5.1</w:t>
      </w:r>
    </w:p>
    <w:p>
      <w:r>
        <w:t>Par requête du 4 janvier 2024, l’appelant a requis l'octroi de l'assistance judiciaire en deuxième instance. Les conditions de l'art. 117 CPC étant remplies, le bénéfice de l'assistance judiciaire doit être accordé à l’appelant pour la procédure d'appel, Me Michel Dupuis étant désigné en qualité de conseil d'office.</w:t>
      </w:r>
    </w:p>
    <w:p>
      <w:r>
        <w:rPr>
          <w:b/>
        </w:rPr>
        <w:t>E. 5.2</w:t>
      </w:r>
    </w:p>
    <w:p>
      <w:r>
        <w:t>Le 22 août 2024, l’intimée a requis l'octroi de l'assistance judiciaire en deuxième instance. Les conditions de l'art. 117 CPC étant également remplies, le bénéfice de l'assistance judiciaire doit être accordé à l’intimée pour la procédure d'appel, Me Matthieu Genillod étant désigné en qualité de conseil d'office.</w:t>
      </w:r>
    </w:p>
    <w:p>
      <w:r>
        <w:rPr>
          <w:b/>
        </w:rPr>
        <w:t>E. 6.1</w:t>
      </w:r>
    </w:p>
    <w:p>
      <w:r>
        <w:t>Les frais judiciaires de deuxième instance sont arrêtés à 600 fr. (art. 63 al. 1 TFJC [tarif des frais judiciaires civils du 28 septembre 2010 ; BLV 270.11.5]) et seront mis à la charge de l'appelant, qui succombe (art. 106 al. 1 CPC), et laissés provisoirement à la charge de l'Etat (art. 122 al. 1 let. b CPC). L'appelant versera en outre la somme de 1’750 fr. à titre de dépens de deuxième instance au conseil de l'intimée (cf. TF 4A_106/2021 du 8 août 2022 consid. 3.4) (art. 3 al. 2, 7, 19 al. 2 et 20 al. 2 TDC [tarif des dépens en matière civile du 23 novembre 2010 ; BLV 270.11.6]).</w:t>
      </w:r>
    </w:p>
    <w:p>
      <w:r>
        <w:rPr>
          <w:b/>
        </w:rPr>
        <w:t>E. 6.2.1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6.2.2</w:t>
      </w:r>
    </w:p>
    <w:p>
      <w:r>
        <w:t>Me Michel Dupuis, conseil de l’appelant, a indiqué avoir consacré 8 heures et 42 minutes à la cause. Ce temps paraît adapté et peut être admis. Il en résulte que l'indemnité de Me Michel Dupuis s'élève à 1’566 fr. (8 h 42 x 180 fr.) montant auquel s'ajoutent les débours, par 31 fr. 30 (2 % de 1’566 fr., art. 3bis al. 1 RAJ) et la TVA sur le tout, par 129 fr. 40, soit 1'726 fr. 70 au total.</w:t>
      </w:r>
    </w:p>
    <w:p>
      <w:r>
        <w:rPr>
          <w:b/>
        </w:rPr>
        <w:t>E. 6.2.3</w:t>
      </w:r>
    </w:p>
    <w:p>
      <w:r>
        <w:t>Me Matthieu Genillod, conseil de l’intimée, a indiqué avoir consacré 4 heures et 54 minutes à la cause. Ce temps paraît adapté et peut être admis. Il en résulte que l'indemnité de Me Matthieu Genillod s'élève à 882 fr. (4 h 54 x 180 fr.) montant auquel s'ajoutent les débours, par 17 fr. 65 (2 % de 882 fr., art. 3bis al. 1 RAJ) et la TVA sur le tout, par 72 fr. 85, soit 972 fr. 50 au total. Cette indemnité sera versée à Me Matthieu Genillod si les dépens de deuxième instance ne peuvent être recouvrés (art. 122 al. 2 CPC ; art. 4 RAJ).</w:t>
      </w:r>
    </w:p>
    <w:p>
      <w:r>
        <w:rPr>
          <w:b/>
        </w:rPr>
        <w:t>E. 6.3</w:t>
      </w:r>
    </w:p>
    <w:p>
      <w:r>
        <w:t>Sous réserve du recouvrement des dépens (art. 122 al. 2 CPC), les bénéficiaires de l’assistance judiciaire seront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