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476 vom 5. Juni 2025</w:t>
      </w:r>
    </w:p>
    <w:p>
      <w:r>
        <w:t>VD Tribunal cantonal, 2025-06-05, FR</w:t>
      </w:r>
    </w:p>
    <w:p>
      <w:r>
        <w:rPr>
          <w:b/>
        </w:rPr>
        <w:t xml:space="preserve">Quelle: </w:t>
      </w:r>
      <w:r>
        <w:t>https://mcp.opencaselaw.ch/entscheid/vd_findinfo_HC___2025___476</w:t>
      </w:r>
    </w:p>
    <w:p>
      <w:r>
        <w:t>FR: VD_FINDINFO HC / 2025 / 476 du 5 juin 2025</w:t>
      </w:r>
    </w:p>
    <w:p>
      <w:r>
        <w:t>IT: VD_FINDINFO HC / 2025 / 476 del 5 giugno 2025</w:t>
      </w:r>
    </w:p>
    <w:p>
      <w:pPr>
        <w:pStyle w:val="Heading2"/>
      </w:pPr>
      <w:r>
        <w:t>Regeste</w:t>
      </w:r>
    </w:p>
    <w:p>
      <w:r>
        <w:t>AVANCE DE FRAIS | 103 CPC (CH), 98 CPC (CH)</w:t>
      </w:r>
    </w:p>
    <w:p>
      <w:pPr>
        <w:pStyle w:val="Heading2"/>
      </w:pPr>
      <w:r>
        <w:t>Erwägungen</w:t>
      </w:r>
    </w:p>
    <w:p>
      <w:r>
        <w:rPr>
          <w:b/>
        </w:rPr>
        <w:t>E. 1.1</w:t>
      </w:r>
    </w:p>
    <w:p>
      <w:r>
        <w:t>Selon l’art. 103 CPC, les décisions relatives aux avances de frais et aux sûretés peuvent faire l’objet d’un recours (art. 319 let. b ch. 1 CPC). Ces décisions étant des ordonnances d’instruction et obéissant à la procédure sommaire par analogie (TF 4A_226/2014 du 6 août 2014 consid. 2.1 ; CREC 14 août 2024/195 ; Tappy, Commentaire romand, Code de procédure civile [ci-après : CR-CPC],</w:t>
      </w:r>
    </w:p>
    <w:p>
      <w:r>
        <w:rPr>
          <w:b/>
        </w:rPr>
        <w:t>E. 1.2</w:t>
      </w:r>
    </w:p>
    <w:p>
      <w:r>
        <w:t>En l’occurrence, déposé en temps utile par une partie ayant un intérêt digne de protection (art. 59 al. 2 let. a CPC), le recours est recevable, sous réserve de ce qui suit.</w:t>
      </w:r>
    </w:p>
    <w:p>
      <w:r>
        <w:rPr>
          <w:b/>
        </w:rPr>
        <w:t>E. 1.3</w:t>
      </w:r>
    </w:p>
    <w:p>
      <w:r>
        <w:t>Le recourant a pris une conclusion tendant à ce que les oppositions soient levées sans délai. Cela étant, la Chambre de céans ne peut pas aller au-delà de l’objet du litige (cf. ATF 137 III 617 consid. 4.5.2 et 4.5.3, JdT 2014 II 187) qui ne saurait lui-même s'étendre au-delà de l'objet de la contestation déterminé par la décision attaquée (cf. ATF 142 I 155 consid. 4.4.2 et les nombreuses réf. citées). Or, le prononcé entrepris ne traite pas des prétentions litigieuses soulevées au fond, soit la levée des oppositions requise par le recourant dans sa demande du 5 mai 2025, mais uniquement de la question – très délimitée – de l’avance de frais. Il s’ensuit que la conclusion de deuxième instance du recourant tendant à la levée des oppositions outrepasse l’objet de la contestation du prononcé attaqué et, partant, est irrecevable.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w:t>
      </w:r>
    </w:p>
    <w:p>
      <w:r>
        <w:rPr>
          <w:b/>
        </w:rPr>
        <w:t>E. 3</w:t>
      </w:r>
    </w:p>
    <w:p>
      <w:r>
        <w:t>ad art. 98 CPC).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soit le TFJC (tarif du 28 septembre 2010 des frais judiciaires civils ; BLV 270.11.5) dans le canton de Vaud (TF 4A_207/2016 du 19 mai 2016 consid. 5 et réf. cit.).</w:t>
      </w:r>
    </w:p>
    <w:p>
      <w:r>
        <w:rPr>
          <w:b/>
        </w:rPr>
        <w:t>E. 3.1</w:t>
      </w:r>
    </w:p>
    <w:p>
      <w:r>
        <w:t>Selon l’art. 98 al. 1 CPC, le tribunal ou l’autorité de conciliation peuvent exiger du demandeur une avance à concurrence de la moitié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CR-CPC, n.</w:t>
      </w:r>
    </w:p>
    <w:p>
      <w:r>
        <w:rPr>
          <w:b/>
        </w:rPr>
        <w:t>E. 3.2</w:t>
      </w:r>
    </w:p>
    <w:p>
      <w:r>
        <w:t>En l’occurrence, le recourant plaide essentiellement le fond du litige, arguant en substance que les « opposants » (soit les parties intimées en première instance) ne se prévaudraient d’aucun droit réel, ni titre juridique valable et que les oppositions déposées auraient uniquement pour but de nuire aux intérêts du recourant. Selon lui, il serait manifeste que les prétentions des « opposants » seraient infondées, voire abusives et que le paiement d’une avance de frais représenterait une entrave à son droit à la justice. Par ailleurs, il serait juridiquement et moralement inacceptable que le recourant soit contraint de payer des frais anticipés pour défendre son propre bien-fonds. Pour tous ces motifs, il conviendrait ainsi de mettre l’avance de frais à la charge des « opposants ». Le recourant perd toutefois de vue qu’il n'incombe pas au juge de l'avance de frais d'évaluer les mérites et les chances de succès de la demande en justice (cf. TF 4A_207/2016 précité consid. 6). De surcroît, le principe de l'équivalence n'exige pas qu'un émolument judiciaire soit taxé différemment selon que la partie assujettie exerce une prétention contre l'autre partie ou, au contraire, résiste à une prétention de cette partie ; autrement dit, les actions négatoire ou condamnatoire peuvent être soumises au même émolument. L'art. 98 CPC n'exige donc pas non plus une différence au stade de l'avance de frais prévue par cette règle (cf. TF 4A_207/2016 précité consid.</w:t>
      </w:r>
    </w:p>
    <w:p>
      <w:r>
        <w:rPr>
          <w:b/>
        </w:rPr>
        <w:t>E. 6</w:t>
      </w:r>
    </w:p>
    <w:p>
      <w:r>
        <w:t>et les réf. citées). Il importe ainsi peu que le recourant agisse pour « défendre » son bien-fonds. Aussi, par son argumentation, il échoue à mettre en évidence une application de l'art. 98 CPC qui soit contraire à cette disposition. Du reste, le recourant n’invoque pas une situation financière délicate qui l’empêcherait, par le montant de l’avance réclamée, de pouvoir déduire son droit en justice, ni davantage une violation du tarif qui fonde le montant de l’avance requise. On mentionnera finalement et à toutes fins utiles que l’avance fournie sera restituée au recourant en cas de gain du procès, conformément à l’art. 111 al. 1 CPC. 4. 4.1 En définitive, le recours, manifestement infondé, doit être rejeté, dans la mesure de sa recevabilité, selon le mode procédural de l’art. 322 al. 1 CPC, et le prononcé confirmé. 4.2 Les frais judiciaires de deuxième instance, arrêtés à 200 fr. (cf. art. 69 al. 1 et 70 al. 3 TFJC), sont mis à la charge du recourant qui succombe (cf. art. 106 al. 1 CPC). Il ne sera pas alloué de dépens de deuxième instance, dès lors que des déterminations sur le recours n’ont pas été requises, étant relevé que les parties intimées à la procédure de première instance ne sauraient se voir reconnaître la qualité de partie dans la présente procédure de recours portant sur une avance de frais demandée à sa partie adverse en procédure de première instance (cf. CREC 5 décembre 2024 ; CREC 17 août 2023/166 ; CREC 27 juin 2016/241). Par ces motifs, la Chambre des recours civile du Tribunal cantonal, en application de l'art. 322 al. 1 CPC, prononce : I. Le recours est rejeté dans la mesure de sa recevabilité. II. Le prononcé est confirmé. III. Les frais judiciaires de deuxième instance, arrêtés à 200 fr. (deux cents francs), sont mis à la charge du recourant A.F.________. IV. L’arrêt est exécutoire. La présidente :               La greffière : Du L'arrêt qui précède, dont la rédaction a été approuvée à huis clos, est notifié à : ‑ M. A.F.________.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Greffier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