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470 vom 14. Januar 2025</w:t>
      </w:r>
    </w:p>
    <w:p>
      <w:r>
        <w:t>VD Tribunal cantonal, 2025-01-14, FR</w:t>
      </w:r>
    </w:p>
    <w:p>
      <w:r>
        <w:rPr>
          <w:b/>
        </w:rPr>
        <w:t xml:space="preserve">Quelle: </w:t>
      </w:r>
      <w:r>
        <w:t>https://mcp.opencaselaw.ch/entscheid/vd_findinfo_HC___2025___470</w:t>
      </w:r>
    </w:p>
    <w:p>
      <w:r>
        <w:t>FR: VD_FINDINFO HC / 2025 / 470 du 14 janvier 2025</w:t>
      </w:r>
    </w:p>
    <w:p>
      <w:r>
        <w:t>IT: VD_FINDINFO HC / 2025 / 470 del 14 gennaio 2025</w:t>
      </w:r>
    </w:p>
    <w:p>
      <w:pPr>
        <w:pStyle w:val="Heading2"/>
      </w:pPr>
      <w:r>
        <w:t>Regeste</w:t>
      </w:r>
    </w:p>
    <w:p>
      <w:r>
        <w:t>RÉSILIATION ABUSIVE, CONTRAT DE TRAVAIL, ANCIENNETÉ DE SERVICE, POUVOIR D'EXAMEN, MOTIVATION DE LA DEMANDE, PROCÉDÉ TÉMÉRAIRE | 335c al. 1 CO, 335c CO, 336 CO, 115 al. 1 CPC (CH), 310 CPC (CH), 311 al. 1 CPC (CH), 311 CPC (CH)</w:t>
      </w:r>
    </w:p>
    <w:p>
      <w:pPr>
        <w:pStyle w:val="Heading2"/>
      </w:pPr>
      <w:r>
        <w:t>Erwägungen</w:t>
      </w:r>
    </w:p>
    <w:p>
      <w:r>
        <w:rPr>
          <w:b/>
        </w:rPr>
        <w:t>E. 11</w:t>
      </w:r>
    </w:p>
    <w:p>
      <w:r>
        <w:t>Le 20 février 2024, l’intimé a ouvert une action en paiement contre l’appelante par devant le tribunal, ensuite de l’échec de la conciliation, introduite par requête du 11 octobre 2023. Il a conclu, avec suite de frais et dépens au paiement par l’appelante de la somme brute de 4'441 fr. 65 sous déduction des charges légales et conventionnelles, avec intérêt à 5 % l’an dès le 1 er septembre 2023, à titre de salaire pour le mois d’août 2023, et de la somme nette de 25’558 fr. 35, avec intérêt à 5 % l’an dès le 1 er septembre 2023 à titre d’indemnité pour licenciement abusif. Dans sa réponse du 7 mai 2024, l’appelante a conclu, avec suite de frais et dépens, à l’irrecevabilité des conclusions de la demande, subsidiairement, à leur rejet. Le tribunal a tenu une audience de jugement le 3 juin 2024 au cours de laquelle l’intimé a été interrogé en qualité de partie et à laquelle le représentant de l’appelante ne s’est pas présenté sans motif valable. En droit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L’appel est de la compétence de la Cour d’appel civile (art. 84 al. 1 LOJV [loi d’organisation judiciaire du 12 décembre 1979 ; BLV 173.01]). 1.2 En l'espèce, formé en temps utile par une partie qui a un intérêt digne de protection (art. 59 al. 2 let. a CPC), contre une décision finale de première instance en lien avec des prétentions patrimoniales dont la valeur litigieuse est supérieure à 10’000 fr., l’appel est recevable, sous réserve de certains passages (cf. consid. 2.2 infra ). 1.3 Les pièces produites avec l’appel figurent déjà au dossier de première instance. Elles sont en conséquence recevables. 2. 2.1 2.1.1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2.1.2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 Si la motivation de l'appel est identique aux moyens qui avaient déjà été présentés en première instance, avant la reddition de la décision attaquée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attaqué pour y déceler les éventuelles modifications apportées et en déduire les critiques de l'appelant (CACI 28 septembre 2022/485 et les références citées). 2.2 2.2.1 En l’espèce, l’appelante développe sur près de dix pages un exposé des faits sous la forme d’allégués assez vastes, accompagnés d’offres de preuves, sans indiquer le fondement de ses éventuelles critiques de l’état de fait de première instance. Cette partie du mémoire d’appel est en conséquence irrecevable. 2.2.2 L’appelante se prévaut d’une supposée constatation inexacte des faits, doublée d’une appréciation, selon elle, arbitraire des preuves en relation avec l’application de l’art. 147 CPC par les premiers juges à la suite de son défaut à l’audience de jugement. Elle n’explicite toutefois pas ce moyen, de sorte qu’il est irrecevable. 2.2.3 En ce qui concerne les faits retenus par les premiers juges, elle réitère son assertion de première instance selon laquelle W.________, lorsqu’il a repris son capital n’avait pas connaissance du dossier professionnel de l’intimé. Les premiers juges ont retenu que ce fait était peu probable. L’appelante ne donne aucune raison de s’écarter de leur appréciation. Il n’est d’ailleurs pas établi que W.________ aurait racheté le capital de l’appelante et ce fait n’est de toute façon guère pertinent : une société anonyme garde par définition la même personnalité juridique lors de l’acquisition de son capital par un nouvel investisseur. 2.2.4 L’appelante discute librement l’appréciation qu’il faut porter sur les incidents retenus par les premiers juges, notamment les plaintes de clients. Elle ne fait cependant valoir aucun motif précis contre les faits retenus et mêle à ses considérations des appréciations d’ordre juridique. Le fait que la reconnaissance de remboursement du 16 mai 2006 mentionne le nom de famille de l’intimé a été corrigé dans l’état de fait du présent arrêt. Les premiers juges ont par ailleurs retenu, sur la base de déclarations de l’intimé que le crédit fait au client en 2018 avait été accordé avec l’autorisation du patron de l’établissement. Ces faits sont cependant sans portée sur l’issue du litige. 3. 3.1 L’appelante fait valoir que le contrat de travail en cause n’a pas duré plus d’un an. Elle se fonde sur le fait qu’il a été résilié le 28 janvier 2023 et qu’il y aurait eu un nouveau contrat le 11 avril 2023. Peu importerait selon elle le temps passé par l’intimé dans l’établissement, les précédents accords de reprise d’activité ou les annulations de précédents congés. Lorsque W.________ aurait « repris les rênes » de l’établissement, au 1 er mars 2023, l’intimé avait été licencié en bonne et due forme et le contrat du 11 avril 2023 était un nouveau contrat, d’autant qu’il prévoyait un salaire plus élevé. 3.2 La durée d’un contrat de travail dépend de la volonté commune des parties. Il est à cet égard admis que la conclusion de contrats successifs, le changement de fonctions ou de brèves interruptions des rapports de travail ne rompent pas l’unité de celui-ci (ATF 112 II 54 ; Portmann/Rudolph, in Widmer Lüchinger/Oser [éd.], Basler Kommentar OR I, 7 e éd, 2020, n. 15 ad art. 324a CO et n. 4 ad art. 335c CO ; Ordolli/Witzig, in Thévenoz/Werro (éd.), Commentaire romand, CO I, 3 e éd., 2021, n. 3 ad art. 335c CO). 3.3 En l’espèce, l’appelante invoque les mêmes moyens qu’en première instance, sans démontrer en quoi le raisonnement des premiers juges serait erroné. La recevabilité du recours sur ce point apparaît douteuse. Au demeurant, comme l’ont souligné les premiers juges, la reprise du capital de l’appelante par W.________, au demeurant non établie, n’a entraîné aucune modification des rapports de travail : l’employeur est demeuré comme auparavant K.________ SA et le travail accompli par l’intimé n’a pas changé. En outre, le « contrat » du 11 avril 2023 entrait en vigueur immédiatement, c’est-à-dire avant l’échéance du licenciement du 28 janvier 2023. Dans de telles conditions, il est téméraire de soutenir que les rapports contractuels auraient duré moins d’un an, au motif que le salaire de l’intimé aurait été augmenté. Les rapports de travail ont donc bien duré vingt-deux ans, étant précisé que l’appelante ne critique pas – à raison d’ailleurs – le raisonnement des premiers juges selon lequel les rapports de travail n’avaient précédemment jamais réellement été interrompus. Il s’ensuit que le salaire du mois d’août 2023 était dû et le moyen doit être rejeté dans la mesure où il est recevable. 4. 4.1 L’appelante soutient que l’intimé ne s’est pas valablement opposé au congé. Selon elle, la lettre du conseil de celui-ci du 27 juin 2023 ne remplissait pas les conditions posées par le Tribunal fédéral dans l’arrêt 4A_59/2023 du 28 mars 2023. Elle soutient que cet arrêt pose de nouvelles exigences au travailleur qui entend faire opposition au congé, à savoir manifester clairement et sans ambiguïté sa volonté de poursuivre les rapports de travail et d’engager des négociations dans ce but et évoquer l’indemnité pour licenciement abusif. 4.2 En vertu de l'art. 336b al. 1 CO (Code des obligations du 30 mars 1911 ; RS 220), la partie qui entend demander une indemnité pour résiliation abusive (art. 336 et 336a CO) doit faire opposition au congé par écrit auprès de l'autre partie, au plus tard jusqu'à la fin du délai de congé.  L'opposition a pour but de permettre à l'employeur de prendre conscience que son employé conteste le licenciement et le considère comme abusif ; elle tend à encourager les parties à engager des pourparlers et à examiner si les rapports de travail peuvent être maintenus (TF 4A_320/2014 du consid. 3.1 ; TF 4A_571/2008 du consid. 4.1.2 ; Wyler/Heinzer/ Witzig, Droit du travail, 5 e éd. 2024, p. 915). Dans cette perspective, le droit du travailleur de réclamer l'indemnité pour licenciement abusif s'éteint si le travailleur refuse l'offre formulée par l'employeur de retirer la résiliation (ATF 134 III 67 consid. 5 ; Wyler/Heinzer/Witzig, op. cit. , p. 915). Il n'y a pas d'opposition lorsque le travailleur s'en prend seulement à la motivation de la résiliation, ne contestant que les motifs invoqués dans la lettre de congé, et non à la fin des rapports de travail en tant que telle (TF 4A_59/2023 du 28 mars 2023 consid. 4.1 ; TF 4A_320/2014 déjà cité consid. 3.1 ; TF 4A_571/2008 déjà cité consid. 4.1.2 ; Wyler/Heinzer/Witzig, op. cit. , p. 912). 4.3 Dans l’arrêt 4A_59/2023 précité, le Tribunal fédéral a constaté que le recourant avait écrit, le 20 décembre 2016, qu'il « form[ait] opposition à ce congé » et simultanément qu'il prenait acte que les « rapports de travail prendront (...) fin le 31 janvier 2017 ». Ses intentions n'étaient pas claires puisqu'il déclarait tout à la fois former opposition au congé et que ce congé interviendrait bien à la date susmentionnée. La cour cantonale avait dégagé la véritable intention de l'employé qui était d'accepter la fin des rapports de travail. Il fallait donc comprendre la lettre du 20 décembre 2016 en ce sens que son opposition portait sur les motifs avancés par l'employeur et non sur la fin de son emploi (consid. 4.2). Le Tribunal fédéral a en conséquence jugé que la cour cantonale n’avait pas violé le droit en refusant une indemnité pour congé abusif, à laquelle l'employé ne pouvait prétendre faute d'avoir formé opposition au licenciement au sens de l'art. 336b al. 1 CO en temps utile. 4.4 En l’espèce, l’appelante invoque exactement les mêmes moyens qu’en première instance sans discuter la motivation des premiers juges. La recevabilité de ses moyens est dès lors là également douteuse. Au demeurant, comme l’ont relevé les premiers juges et comme il ressort de l’analyse ci-dessus, l’arrêt dont se prévaut l’appelante ne pose aucune nouvelle exigence, contrairement à l’avis de doctrine invoqué par celle-ci. Le Tribunal fédéral y a résolu une contradiction en ce sens que le travailleur déclarait faire opposition au congé, mais simultanément, prenait acte du fait que les rapports de travail prendraient fin à la date dudit congé. En l’espèce, le conseil de l’intimé a clairement manifesté dans sa lettre l’opposition au congé. Cette lettre permettait sans doute aucun à l’employeur de prendre conscience que son employé contestait le licenciement et le considérait comme abusif, et qu’il contestait la fin des rapports de travail en tant que telle. Contrairement à ce que fait valoir l’appelante, l’intimé, par cette lettre, exprimait par ailleurs clairement une offre de poursuivre les rapports de travail. Son conseil écrivait en effet « Il s’agit également pour l’employeur de rechercher des solutions pour permettre la poursuite des rapports de travail », indiquait que l’intimé pouvait prétendre à une indemnité pour licenciement abusif et précisait qu’il offrait ses services « si vous devez le souhaiter ». L’argumentation de l’appelante est là également téméraire, ce d’autant plus que l’intimé qu’elle a refusé l’offre des services de l’intimé le 5 juillet 2023. 5 5.1 Aux termes de l’art. 335 al. 1 CO, le contrat de travail conclu pour une durée indéterminée peut être résilié par chacune des parties. En droit suisse du travail prévaut ainsi la liberté de résiliation, de sorte que, pour être valable, un congé n'a en principe pas besoin de reposer sur un motif particulier (TF 4A_3/2023 du 30 août 2023 consid. 4.1). En d’autres termes, le principe de base reste la liberté de résilier moyennant respect du délai de préavis, et ce même sans justification ou motifs particuliers (ATF 131 III 535 consid. 4.1). Le droit fondamental de chaque cocontractant de mettre unilatéralement fin au contrat est cependant limité par les dispositions sur le congé abusif prévues aux art. 336 ss CO (ATF 136 III 513 consid. 2.3 ; ATF 132 III 115 consid. 2.1 ; TF 4A_3/2023 du 30 août 2023 consid. 4.1), le travailleur étant protégé contre les congés abusifs (art. 336 à 336b CO) et ceux donnés en temps inopportun (art. 336c CO). 5.2 Aux côtés des motifs abusifs décrits par l'art. 336 al. 1 CO, la jurisprudence a dégagé d'autres motifs jugés abusifs. Par exemple le motif lié à la violation de ses obligations par l'employeur (TF 4A_390/2021 du 1 er février 2022 consid. 3.1.1 ; Wyler/Heinzer/Witzig, op. cit. , pp. 882 ss et réf. cit.). Le Tribunal fédéral a en particulier admis le caractère abusif du licenciement d'un monteur en chauffage âgé de 63 ans prononcé sans prévenir à quelques mois de l'âge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La Haute Cour avait relevé le devoir d'assistance particulier de l'employeur envers un employé qui se trouve à quelques mois de la retraite et a travaillé quarante-quatre ans au service de la même entreprise en donnant satisfaction (ATF 132 III 115 consid. 5 ; TF 4A_307/2022 du 18 janvier 2023 consid. 4.1). Dans des arrêts ultérieurs, le Tribunal fédéral a relevé qu'il fallait tenir compte de toutes les circonstances du cas particulier et non s'en tenir au seul âge du collaborateur pour décider du caractère abusif ou non d'une résiliation (TF 4A_60/2009 du 3 avril 2009 consid. 3.2 ; TF 4A_419/2007 du 29 janvier 2008 consid. 2.5). Les principes découlant de l'ATF 132 III 115 ne sauraient faire systématiquement obstacle au licenciement d'un collaborateur d'un certain âge ayant œuvré durant de longues années au service du même employeur, lorsque le rendement du travailleur diminue à tel point qu'il n'est plus en mesure d'exécuter à satisfaction les tâches qui lui sont confiées, ni d'assumer une autre occupation compatible avec ses ressources (TF 4A_60/2009 précité consid. 3.2 et la référence citée ; TF 4A_419/2007 précité consid. 2.6). Toutefois, dans cette hypothèse, l’employeur doit manifester des égards particuliers pour le travailleur, l’informer préalablement de la mesure envisagée, lui laisser l’occasion de se déterminer et de rechercher d’autres solutions permettant la poursuite de l’emploi à des conditions adaptées à sa personne et à ses capacité professionnelles, assortie d’un délai raisonnable pour faire ses preuves (TF 4A_117/2023 du 15 mai 2023 consid. 3.4.2 ; TF 4A_384/2014 du 12 novembre 2014 consid. 4.2.2 ; Wyler/Heinzer/Witzig, op. cit. , pp. 896 ss et les réf. citées). 5.3 La partie qui prétend que la résiliation est abusive doit le prouver (art. 8 CC ; TF 4A_3/2023 du 30 août 2023 consid. 4.1 ; ATF 123 III 246 consid. 4b, JdT 1998 I 300). Le juge peut présumer l’existence d’un abus lorsque l’employé parvient à présenter des indices suffisants pour faire apparaître comme non réel le motif avancé par l’employeur ; il s’agit d’une forme de « preuve par indices ». De son côté, l’employeur ne peut rester inactif et doit fournir des preuves à l’appui de ses propres allégations justifiant le licenciement (ATF 130 III 699 consid. 4.1). 5.4 En l’espèce, comme on l’a vu, les rapport contractuels entre les parties ont duré vingt-deux ans (cf. consid. 3 supra ). Il n’est pas prétendu que le rendement du travailleur aurait diminué. Il s’ensuit que l’intimé, âgés de soixante-trois ans, avait droit à la protection accrue que la jurisprudence accorde aux travailleurs âgés lorsque les relation contractuelles ont été de longue durée. L’appelante rappelle qu’elle a invoqué trois motifs à l’appui du licenciement litigieux : la réorganisation complète des postes de travail, une situation économique tendue et des besoins des artistes par l’adjonction de personnel féminin. Au chiffre 2.3.3 de son mémoire d’appel, elle indique toutefois que « la réalité est bien différente ». Ce faisant, l’appelante admet et va jusqu’à affirmer que les motifs invoqués étaient mensongers. Comme on l’a vu plus haut, le juge doit dans de tels cas présumer l’existence d’un congé abusif L’appelante invoque en outre que, par son attitude passée et ses manquements professionnels, l’intimé aurait rompu le rapport de confiance entre les parties. Toutefois, ces prétendus manquements sont anciens : si l’on fait abstraction du reproche d’avoir accordé un crédit à un client – ce qui n’apparaît pas très grave –, et qui date de cinq ans avant le congé, les faits les plus récents dont l’appelant fait grief à son employé datent de huit ans avant que le congé ne soit donné. Il est parfaitement évident que l’on ne saurait de bonne foi faire valoir des motifs aussi anciens. Ces griefs doivent d’ailleurs être fortement relativisés. Il est possible que l’intimé se soit fait appeler « I.________ » au lieu de B.________, mais les responsabilités de l’employé et de l’employeur ne sont pas clairement établies dans les cas des deux clients qui se sont plaints en 2005. L’intimé a bien fait l’objet d’une plainte pénale, comme s’en prévaut l’appelante, mais cette plainte a été retirée et on ignore si elle était fondée et si elle avait un quelconque lien avec l’activité professionnelle de l’intimé. Le contrat de l’intimé a été brièvement suspendu par l’appelante en 2010 pour des raisons administratives. L’intéressé a reçu un avertissement en raison de relations avec les artistes en 2014. Il a été licencié en 2015 sans que l’on connaisse les motifs du congé, et ce licenciement n’a pas été suivi d’effets. Il a finalement été averti pour avoir accordé un crédit à un client en 2018. Les seuls reproches que l’appelante peut faire à l’intimé concernent les deux événements de 2005, d’avoir eu des relations avec des artistes en 2014 et d’avoir accordé un crédit à un client à 2018. L’invocation de tels griefs à l’appui du congé litigieux démontre qu’il s’agit de prétextes, renforçant la suspicion d’un congé abusif. L’appelante ne fait valoir aucun autre moyen contre l’appréciation des premiers juges selon laquelle le congé était abusif et n’invoque aucun moyen susceptible de justifier sa conclusion subsidiaire en annulation. Au vu de ce qui précède, on ne peut que confirmer l’appréciation des premiers juges. Le congé donné à un travailleur âgé au terme d’une relation de travail particulièrement longue et donné sans aucun ménagement, pour des motifs qui apparaissent clairement comme des prétextes doit être considéré comme abusif. 6. 6.1 6.1.1 En conclusion, l’appel, manifestement mal fondé, doit être rejeté selon les modalités de l’art. 312 al. 1 CPC et le jugement confirmé. 6.1.2 A la lecture du considérant 2 du présent arrêt, il ressort que le chiffre I du dispositif de l’arrêt notifié le 14 janvier 2025 rejetant l’appel n’exprime pas complètement la motivation de l’arrêt. Conformément à l’article 334 al. 1 CPC, il convient de rectifier ledit dispositif en ce sens que l’appel est rejeté dans la mesure de sa recevabilité . 6.2 6.2.1 Selon l’art. 114 let. c CPC, il n’est pas perçu de frais judiciaires dans la procédure au fond pour les litiges portant sur un contrat de travail lorsque la valeur litigieuse n’excède pas 30'000 francs. Toutefois, selon l'art. 115 CPC, les frais judiciaires peuvent, même dans les procédures gratuites, être mis à la charge de la partie qui a procédé de façon téméraire ou de mauvaise foi. Cette règle fait suite à l'énoncé de cas dans lesquels il n'est pas perçu de frais judiciaires (art. 113 al. 2 et art. 114 CPC). Elle apporte ainsi une exception à cette exemption, en raison d'un comportement téméraire ou de mauvaise foi (TF 4A_74/2018 du 28 juin 2018 consid. 7.2.2). 6.2.2 En l’espèce, l’appelante n’a fait que reprendre les arguments développés en première instance, sans discuter la motivation du jugement attaqué, de sorte que l’appel était en grande partie irrecevable. Au surplus, ces arguments étaient dénués de tout fondement, voire téméraires. Dans ces conditions, la Cour de céans ne discerne pas quel autre but l’appel pouvait avoir que de prolonger la procédure et de retarder le paiement des sommes dues. Il convient de mettre les frais de justice de deuxième instance, arrêtés à 400 fr., (art. 62 al. 1 et 67 al. 3 TFJC [tarif du 18 septembre 2010 des frais judiciaires civils ; BLV 270.11.5]), à la charge de l’appelante. 6.3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