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469 vom 27. Juni 2025</w:t>
      </w:r>
    </w:p>
    <w:p>
      <w:r>
        <w:t>VD Tribunal cantonal, 2025-06-27, FR</w:t>
      </w:r>
    </w:p>
    <w:p>
      <w:r>
        <w:rPr>
          <w:b/>
        </w:rPr>
        <w:t xml:space="preserve">Quelle: </w:t>
      </w:r>
      <w:r>
        <w:t>https://mcp.opencaselaw.ch/entscheid/vd_findinfo_HC___2025___469</w:t>
      </w:r>
    </w:p>
    <w:p>
      <w:r>
        <w:t>FR: VD_FINDINFO HC / 2025 / 469 du 27 juin 2025</w:t>
      </w:r>
    </w:p>
    <w:p>
      <w:r>
        <w:t>IT: VD_FINDINFO HC / 2025 / 469 del 27 giugno 2025</w:t>
      </w:r>
    </w:p>
    <w:p>
      <w:pPr>
        <w:pStyle w:val="Heading2"/>
      </w:pPr>
      <w:r>
        <w:t>Erwägungen</w:t>
      </w:r>
    </w:p>
    <w:p>
      <w:r>
        <w:rPr>
          <w:b/>
        </w:rPr>
        <w:t>E. 1.1</w:t>
      </w:r>
    </w:p>
    <w:p>
      <w:r>
        <w:t>L’appel est ouvert contre les ordonnances de mesures provisionnelles, dans les causes non patrimoniales (art. 308 al. 1 CPC [Code de procédure civile du 19 décembre 2008 ; RS 272]) ou dont la valeur litigieuse, au dernier état des conclusions devant l’autorité inférieure, est supérieure à 10'000 fr. (art. 308 al. 2 CPC). Les décisions portant sur des mesures provisionnelles étant régies par la procédure sommaire,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Formé en temps utile par une partie ayant un intérêt digne de protection (art. 59 al. 2 let. a CPC) contre une ordonnance de mesures provisionnelles, l’appel, portant sur des conclusions non patrimoniales,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L’autorité judiciaire qui se prononce sur des mesures provisionnelles statue en application de la procédure sommaire (art. 271 let. a et 276 al. 1 CPC) et peut se limiter à la simple vraisemblance des faits, après une administration limitée des preuves (ATF 138 III 97 consid. 3.4.2 ; TF 5A_431/2024 du 19 février 2025 consid 4.3 et les références citées), en se fondant sur les moyens de preuve immédiatement disponibles (ATF 131 III 473 consid. 2.3 ; TF 5A_520/2021 du 12 janvier 2022 consid. 5.2.2.2).</w:t>
      </w:r>
    </w:p>
    <w:p>
      <w:r>
        <w:rPr>
          <w:b/>
        </w:rPr>
        <w:t>E. 2.3</w:t>
      </w:r>
    </w:p>
    <w:p>
      <w:r>
        <w:t>Conformément à la maxime inquisitoire illimitée (art. 296 al. 1 CPC), le juge saisi de questions relatives aux enfants mineurs dans les affaires de droit de la famille (TF 5A_20/2020 du 28 août 2020 consid. 4.2) a toutefois le devoir d’éclaircir les faits et de prendre en considération d’office tous les éléments qui peuvent être importants pour rendre une décision conforme à l’intérêt de l’enfant. Il n’est lié ni par les faits allégués ou admis ni par les moyens de preuve invoqués par les parties ; il ordonne d’office l’administration de tous les moyens de preuve propres et nécessaires à établir les faits pertinents (TF 5A_59/2024 du 9 octobre 2024 consid. 3.1.3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5A_59/2024 précité consid. 4.2 et les références citées). L’art. 296 al. 3 CPC prévoit que le tribunal n’est pas lié par les conclusions des parties. Cette disposition consacre la maxime d’office (ATF 128 III 411 précité consid. 3.1 ; TF 5A_645/2022 du</w:t>
      </w:r>
    </w:p>
    <w:p>
      <w:r>
        <w:rPr>
          <w:b/>
        </w:rPr>
        <w:t>E. 2.4</w:t>
      </w:r>
    </w:p>
    <w:p>
      <w:r>
        <w:t>L’application des maximes inquisitoire illimitée et d’office n’atténue pas l’obligation de motivation ancrée à l’art. 311 al. 1 CPC (TF 4A_31/2024 du 13 juin 2024 consid 3.1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5A_524/2023 du 14 décembre 2023 consid. 3.1.1 et les références citées).</w:t>
      </w:r>
    </w:p>
    <w:p>
      <w:r>
        <w:rPr>
          <w:b/>
        </w:rPr>
        <w:t>E. 2.5</w:t>
      </w:r>
    </w:p>
    <w:p>
      <w:r>
        <w:t>L’appelante se prévaut de sa compliance et bonne collaboration avec la DGEJ. Elle n’indique cependant pas quelle partie de l’ordonnance querellée elle attaquerait, ni de quelle manière cet élément serait susceptible d’influencer sur le sort de la cause. Ce grief, insuffisamment motivé, est irrecevable. Par surabondance, on relèvera que l’ordonnance querellée ne remet pas en question la bonne collaboration de l’appelante avec la DGEJ si bien que le grief n’est pas pertinent. 3. 3.1 Conformément à l'art. 317 al. 1 bis CPC (dans sa teneur en vigueur dès le 1 er janvier 2025 ; cf. art. 407f CPC [RO 2023 491]), lorsqu’elle doit examiner les faits d’office – tel que cela est le cas en l’occurrence –, l’instance d’appel admet des faits et moyens de preuve nouveaux jusqu’aux délibérations. 3.2 En conséquence, les faits nouvellement allégués et les pièces nouvelles produites par l’appelante concernant l’accident de ski de l’enfant B.Z.________ –en particulier la pièce 14 – sont recevables. Toutefois, ils n’influent pas sur l’appréciation de la cause, comme cela sera développé ci-après (cf. consid. 4.3.4.2 infra ). 4. 4.1 L’appelante soutient que les conditions nécessaires au retrait du droit de déterminer le lieu de résidence de son enfant ne sont pas réalisées. Elle soulève différents griefs à cet égard. 4.2 4.2.1 La règle fondamentale pour attribuer la garde est le bien de l'enfant, les intérêts des parents devant être relégués au second plan (TF 5A_108/2024 du 20 juin 2024 consid 4.2.1 et les références citées).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(TF 5A_415/2020 du 18 mars 2021 consid. 4.1), ce dernier critère revêtant un poids particulier lorsque les capacités d'éducation et de soin sont similaires (ATF 117 Il 353 consid. 3). 4.2.2 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(TF 5A_64/2022 du 15 décembre 2022 consid. 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(Juge unique CACI du 28 mars 2025/143 consid. 4.2.2). 4.2.3 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5A_153/2019 du 3 septembre 2019 consid. 4.3 et les références citées). La cause du retrait doit résider dans le fait que le développement corporel, intellectuel ou moral de l'enfant n'est pas assez protégé ou encouragé dans le milieu de ses père et mère (TF 5A_778/2021 du 8 juillet 2022 consid. 4.2.2 et les références citées).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références citées).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5A_754/2023 du</w:t>
      </w:r>
    </w:p>
    <w:p>
      <w:r>
        <w:rPr>
          <w:b/>
        </w:rPr>
        <w:t>E. 5</w:t>
      </w:r>
    </w:p>
    <w:p>
      <w:r>
        <w:t>juillet 2023 consid. 3.1.2 et les références citées). L’application des maximes inquisitoire et d’office prévue par l’art. 296 CPC s’étend à la procédure d'appel (TF 5A268/2023 du 19 septembre 2023 consid. 1.2 et les références citées).</w:t>
      </w:r>
    </w:p>
    <w:p>
      <w:r>
        <w:rPr>
          <w:b/>
        </w:rPr>
        <w:t>E. 5.1</w:t>
      </w:r>
    </w:p>
    <w:p>
      <w:r>
        <w:t>L’appelante allègue subsidiairement qu’en cas de placement de l’enfant, celui-ci devrait être prononcé auprès des grands-parents maternels. Elle expose que B.Z.________ est pris en charge par ses grands-parents depuis déjà 5 mois et qu’un placement en foyer n’aurait que pour conséquence de le déstabiliser. L’appelante indique que les grands‑parents maternels sont à la retraite et sont disponibles pour accompagner l’enfant dans ses différents projets et activités en lui offrant le cadre éducatif nécessaire à son bon développement. Elle rappelle que l’enfant a indiqué souhaiter être pris en charge par ses grands-parents lorsque son séjour chez son oncle n’a pas pu être poursuivi.</w:t>
      </w:r>
    </w:p>
    <w:p>
      <w:r>
        <w:rPr>
          <w:b/>
        </w:rPr>
        <w:t>E. 5.2</w:t>
      </w:r>
    </w:p>
    <w:p>
      <w:r>
        <w:t>Le premier juge a rappelé que B.Z.________ vivait avec sa grand-mère maternelle au domicile de sa mère, celle-ci ayant déménagé auprès de sa sœur. Elle a relevé que la grand-mère maternelle avait laissé l’enfant avec sa mère durant les vacances de février 2025 au cours desquelles celle-ci avait à nouveau consommé de l’alcool selon les dires de l’enfant. Le premier juge a estimé que l’enfant était ainsi en danger dans la situation actuelle, que ce soit auprès de sa mère, de son père ou de sa famille élargie et qu’un cadre protecteur et bénéfique à son développement faisait défaut à ce jour.</w:t>
      </w:r>
    </w:p>
    <w:p>
      <w:r>
        <w:rPr>
          <w:b/>
        </w:rPr>
        <w:t>E. 5.3</w:t>
      </w:r>
    </w:p>
    <w:p>
      <w:r>
        <w:t>L’appelante perd de vue que la question du placement de l’enfant auprès de ses grands-parents maternels a été examinée par le premier juge qui a détaillé l’évolution de la situation depuis la décision de placement d’urgence du 13 janvier 2025. C'est précisément parce que les mesures provisoires mises en place dans l'intervalle se sont révélées insuffisantes pour garantir la sécurité de l'enfant que l'ordonnance querellée a décidé du placement en foyer. Le raisonnement du premier juge, qui n’est pas efficacement remis en cause par l’appelante, doit être confirmé. La question de la recevabilité du grief de l’appelante sera laissée ouverte dans la mesure où celui-ci doit dans tous les cas être rejeté. 6. 6.1 Au vu de ce qui précède, l’appel, manifestement infondé, doit être rejeté dans la mesure où il est recevable en application de l’art. 312 al. 1 in fine CPC et le jugement confirmé. La requête d’effet suspensif et la requête de mesures superprovisionnelles sont sans objet. 6.2 Les frais judiciaires de deuxième instance, arrêtés à 600 fr. (art.  65 al. 2 TFJC [tarif des frais judiciaires civils du 28 septembre 2010 ; BLV 270.11.5]), seront mis à la charge de l’appelante, qui succombe (art. 106 al. 1 CPC). 6.3 Il n’y a pas lieu à l’allocation de dépens, l’intimé n’ayant pas été invité à se déterminer sur l’appel.</w:t>
      </w:r>
    </w:p>
    <w:p>
      <w:r>
        <w:rPr>
          <w:b/>
        </w:rPr>
        <w:t>E. 7</w:t>
      </w:r>
    </w:p>
    <w:p>
      <w:r>
        <w:t>L’appelante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Par ces motifs, le Juge unique de la Cour d’appel civile prononce : I. L’appel est rejeté dans la mesure où il est recevable. II. L’ordonnance est confirmée. III. La requête d’effet suspensif est sans objet. IV. La requête d’assistance judiciaire est rejetée. V. Les frais judiciaires de deuxième instance, arrêtés à 600 fr. (six cents francs), sont mis à la charge de l’appelante K.________. VI. L’arrêt est exécutoire. Le juge unique :               La greffière : Du Le présent arrêt, dont la rédaction a été approuvée à huis clos, est notifié en expédition complète à : ‑ Me Raphaël Tatti (pour K.________), ‑ Me Dorothée Raynaud (pour A.Z.________), et communiqué, par l'envoi de photocopies, à : ‑ Mme la Présidente du Tribunal civil de l’arrondissement de l’Est vaudois, - Direction générale de l’enfant et de la jeunesse, Office régional de protection des mineurs de [...].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