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386 vom 19. Mai 2025</w:t>
      </w:r>
    </w:p>
    <w:p>
      <w:r>
        <w:t>VD Tribunal cantonal, 2025-05-19, FR</w:t>
      </w:r>
    </w:p>
    <w:p>
      <w:r>
        <w:rPr>
          <w:b/>
        </w:rPr>
        <w:t xml:space="preserve">Quelle: </w:t>
      </w:r>
      <w:r>
        <w:t>https://mcp.opencaselaw.ch/entscheid/vd_findinfo_HC___2025___386</w:t>
      </w:r>
    </w:p>
    <w:p>
      <w:r>
        <w:t>FR: VD_FINDINFO HC / 2025 / 386 du 19 mai 2025</w:t>
      </w:r>
    </w:p>
    <w:p>
      <w:r>
        <w:t>IT: VD_FINDINFO HC / 2025 / 386 del 19 maggio 2025</w:t>
      </w:r>
    </w:p>
    <w:p>
      <w:pPr>
        <w:pStyle w:val="Heading2"/>
      </w:pPr>
      <w:r>
        <w:t>Regeste</w:t>
      </w:r>
    </w:p>
    <w:p>
      <w:r>
        <w:t>CERTIFICAT D'HÉRITIER, USUFRUIT, HÉRITIER | 559 al. 1 CC, 133 CDPJ</w:t>
      </w:r>
    </w:p>
    <w:p>
      <w:pPr>
        <w:pStyle w:val="Heading2"/>
      </w:pPr>
      <w:r>
        <w:t>Erwägungen</w:t>
      </w:r>
    </w:p>
    <w:p>
      <w:r>
        <w:rPr>
          <w:b/>
        </w:rPr>
        <w:t>E. 6.1</w:t>
      </w:r>
    </w:p>
    <w:p>
      <w:r>
        <w:t>Au vu de ce qui précède, le recours, manifestement mal fondé, doit être rejeté en application de l’art. 322 al. 1 in fine CPC et la décision confirmée. Il appartiendra, cas échéant, aux recourants de requérir de la juge de paix l’établissement d’une réquisition d’inscription au registre foncier.</w:t>
      </w:r>
    </w:p>
    <w:p>
      <w:r>
        <w:rPr>
          <w:b/>
        </w:rPr>
        <w:t>E. 6.2</w:t>
      </w:r>
    </w:p>
    <w:p>
      <w:r>
        <w:t>Les frais judiciaires de deuxième instance, arrêtés à 200 fr. (art. 74 al. 1 TFJC [tarif des frais judiciaires civils du 28 septembre 2010 ; BLV 270.11.5]), seront mis à la charge des recourants, qui succombent (art. 106 al. 1 CPC), solidairement entre eux (art. 106 al. 3 CPC). Par ces motifs, la Chambre des recours civile du Tribunal cantonal, prononce : I. Le recours est rejeté. II. La décision est confirmée. III. Les frais judiciaires de deuxième instance, arrêtés à 200 fr. (deux cents francs), sont mis à la charge des recourants, A.P.________, S.________ et B.P.________, solidairement entre eux. IV. L’arrêt est exécutoire. La présidente :               Le greffier : Du L’arrêt qui précède, dont la rédaction a été approuvée à huis clos, est notifié en expédition complète, à : ‑ Me Laure Dallève et Me Yves Noël (pour A.P.________, S.________ et B.P.________).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Lavaux-Oron.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