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344 vom 10. Juni 2025</w:t>
      </w:r>
    </w:p>
    <w:p>
      <w:r>
        <w:t>VD Tribunal cantonal, 2025-06-10, FR</w:t>
      </w:r>
    </w:p>
    <w:p>
      <w:r>
        <w:rPr>
          <w:b/>
        </w:rPr>
        <w:t xml:space="preserve">Quelle: </w:t>
      </w:r>
      <w:r>
        <w:t>https://mcp.opencaselaw.ch/entscheid/vd_findinfo_HC___2025___344</w:t>
      </w:r>
    </w:p>
    <w:p>
      <w:r>
        <w:t>FR: VD_FINDINFO HC / 2025 / 344 du 10 juin 2025</w:t>
      </w:r>
    </w:p>
    <w:p>
      <w:r>
        <w:t>IT: VD_FINDINFO HC / 2025 / 344 del 10 giugno 2025</w:t>
      </w:r>
    </w:p>
    <w:p>
      <w:pPr>
        <w:pStyle w:val="Heading2"/>
      </w:pPr>
      <w:r>
        <w:t>Regeste</w:t>
      </w:r>
    </w:p>
    <w:p>
      <w:r>
        <w:t>DROIT D'ÊTRE ENTENDU, MAXIME DE DISPOSITION, OBLIGATION D'ENTRETIEN, CONJOINT, PROTECTION DE L'UNION CONJUGALE, LOI FISCALE CANTONALE, REVENU HYPOTHÉTIQUE, INCAPACITÉ DE TRAVAIL | 29 al. 2 Cst., 317 al. 1 CPC (CH), 58 al. 1 CPC (CH)</w:t>
      </w:r>
    </w:p>
    <w:p>
      <w:pPr>
        <w:pStyle w:val="Heading2"/>
      </w:pPr>
      <w:r>
        <w:t>Erwägungen</w:t>
      </w:r>
    </w:p>
    <w:p>
      <w:r>
        <w:rPr>
          <w:b/>
        </w:rPr>
        <w:t>E. 1.1</w:t>
      </w:r>
    </w:p>
    <w:p>
      <w:r>
        <w:t>L’appel est recevable contre les ordonnances de mesures provisionnelles ou de mesures protectrices de l’union conjugale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ou de mesures protectrices de l’union conjugale étant régies par la procédure sommaire selon l’art. 248 let. d CPC, le délai pour l’introduction de l’appel et le dépôt de la réponse est de dix jours (art. 314 al. 1 CPC applicable dans sa version antérieure au 1 er janvier 2025 ; cf. art. 405 al. 1 et, a contrario , 407f CPC [RO 2023 491]). L'appel relève de la compétence d'un juge unique (art. 84 al. 2 LOJV [loi d'organisation judiciaire du 12 décembre 1979 ; BLV 173.01]). Formé en temps utile par une partie qui a un intérêt digne de protection (art. 59 al. 2 let. a CPC) contre une ordonnance de mesures protectrices de l’union conjugale portant sur des conclusions, qui capitalisées (art. 92 al. 2 CPC), sont supérieures à 10'000 fr., l’appel est recevable. Il en va de même de la réponse (art. 314 CPC).</w:t>
      </w:r>
    </w:p>
    <w:p>
      <w:r>
        <w:rPr>
          <w:b/>
        </w:rPr>
        <w:t>E. 1.2</w:t>
      </w:r>
    </w:p>
    <w:p>
      <w:r>
        <w:t>Les parties ont produit des pièces complémentaires devant l’autorité de céans.</w:t>
      </w:r>
    </w:p>
    <w:p>
      <w:r>
        <w:rPr>
          <w:b/>
        </w:rPr>
        <w:t>E. 1.2.1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La diligence requise doit être appréciée rigoureusement (Bastons Bulletti, in Chabloz et al. [éd.], Petit commentaire, Code de procédure civile, Bâle 2021 [ci-après : PC-CPC], n. 14 ad art. 317 CPC).</w:t>
      </w:r>
    </w:p>
    <w:p>
      <w:r>
        <w:rPr>
          <w:b/>
        </w:rPr>
        <w:t>E. 1.2.2</w:t>
      </w:r>
    </w:p>
    <w:p>
      <w:r>
        <w:t>En l’espèce, l’appelant a produit deux pièces complémentaires à l’appui de son appel (pièces 3 et 4) et a requis la production de pièces de la part de l’intimée. La question de la recevabilité de la première, consistant en une capture d’écran d’un « post » de l’intimée du 5 décembre 2024 sur Facebook dans lequel, « [a]vant d’accepter de représenter la marque [...] », elle sondait ses « amis » pour savoir s’ils utilisaient les produits de la marque précitée et pour quelles raisons (pièce 3), peut rester ouverte, dès lors qu’elle n’est pas déterminante pour l’issue du litige (cf. infra consid. 4). La deuxième est constituée, d’une part, d’un relevé de compte de l’Office d’impôt des districts de Lausanne et Ouest lausannois du 13 janvier 2023, divers récépissés dudit office relatifs aux acomptes provisionnels d’impôts pour l’année 2022, et, d’autre part, d’extraits d’un compte bancaire commun des parties auprès de [...] du 1 er janvier au 7 novembre 2022, faisant notamment état de versements à l’Office d’impôt (pièce 4). Cette pièce étant une copie de la pièce 55 de première instance, elle n’est pas nouvelle. Partant, elle est recevable. Dans le but de prouver l’activité que, selon lui, l’intimée exercerait à titre indépendant pour son entreprise [...], l’appelant écrit en page 13 de son mémoire d'appel qu'il « réitère » (sic) sa réquisition de production des pièces 51 et 52 et joint à son mémoire d'appel une réquisition tendant à la production en deuxième instance de pièces numérotées 51 et 52. Toutefois, l'intitulé de ces pièces, requises en deuxième instance, ne correspond pas à l'intitulé des pièces requises sous les mêmes numéros en première instance, ni apparemment à l'intitulé d'aucune autre. Il s'agit dès lors de pièces nouvelles, qui, en l'absence de toute motivation de l’appelant en relation avec l'art. 317 CPC, sont irrecevables.</w:t>
      </w:r>
    </w:p>
    <w:p>
      <w:r>
        <w:rPr>
          <w:b/>
        </w:rPr>
        <w:t>E. 1.2.3</w:t>
      </w:r>
    </w:p>
    <w:p>
      <w:r>
        <w:t>Quant à la question de la recevabilité des pièces produites en deuxième instance par l’intimée, elle sera traitée ci-après au considérant 4.1.</w:t>
      </w:r>
    </w:p>
    <w:p>
      <w:r>
        <w:rPr>
          <w:b/>
        </w:rPr>
        <w:t>E. 1.3</w:t>
      </w:r>
    </w:p>
    <w:p>
      <w:r>
        <w:t>L’autorité de céans revoit la cause avec un plein pouvoir d'examen en fait et en droit (art. 310 CPC), mais uniquement dans la limite des griefs qui sont formulés (ATF 147 III 176 consid. 4.2.1). La procédure sommaire (art. 272 ss CPC) s’applique aux causes de mesures protectrices de l’union conjugale (art. 271 CPC), le tribunal établissant toutefois les faits d’office (maxime inquisitoire illimitée ; art. 55 al. 2 et 272 CPC), et s’agissant de la question de la contribution d’entretien entre époux, le principe de disposition s’applique (art. 58 al. 1 CPC).</w:t>
      </w:r>
    </w:p>
    <w:p>
      <w:r>
        <w:rPr>
          <w:b/>
        </w:rPr>
        <w:t>E. 2</w:t>
      </w:r>
    </w:p>
    <w:p>
      <w:r>
        <w:t>En premier lieu, l’appelant invoque une violation de la maxime de disposition, au motif que le président a alloué à l'intimée des contributions d'entretien de 1’730 fr. par mois pour la période écoulée du 1 er octobre au 31 décembre 2022, alors que, pour cette période, l'intimée avait conclu au paiement de 1'250 fr. par mois.</w:t>
      </w:r>
    </w:p>
    <w:p>
      <w:r>
        <w:rPr>
          <w:b/>
        </w:rPr>
        <w:t>E. 2.1</w:t>
      </w:r>
    </w:p>
    <w:p>
      <w:r>
        <w:t>Aux termes de l'art. 58 al. 1 CPC, le tribunal ne peut accorder à une partie ni plus ni autre chose que ce qui est demandé, ni moins que ce qui est reconnu par la partie adverse.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143 III 254 consid. 3.3 ; TF 4A_329/2020 du 10 février 2021 consid. 4.2). Cette jurisprudence est également applicable à l'entretien après divorce (TF 5A_1065/2021 du 2 mai 2023 consid. 2.3 ; TF 5A_667/2015 du 1 er février 2016 consid. 6.1, publié in SJ 2016 I p. 419 ). Pour déterminer si le juge reste dans le cadre des conclusions prises, il faut par conséquent se fonder sur le montant global réclamé (TF 5A_418/2023 du 6 mai 2024 consid. 3.2).</w:t>
      </w:r>
    </w:p>
    <w:p>
      <w:r>
        <w:rPr>
          <w:b/>
        </w:rPr>
        <w:t>E. 2.2</w:t>
      </w:r>
    </w:p>
    <w:p>
      <w:r>
        <w:t>En l’espèce, au jour où les délibérations de première instance ont commencé, soit à fin septembre 2024, l'intimée concluait au paiement d'un arriéré d'entretien total de 60'180 fr. (= 1'850 fr./mois x 3 mois + 1'250 fr./mois x 3 mois + 2'250 fr./mois x</w:t>
      </w:r>
    </w:p>
    <w:p>
      <w:r>
        <w:rPr>
          <w:b/>
        </w:rPr>
        <w:t>E. 7</w:t>
      </w:r>
    </w:p>
    <w:p>
      <w:r>
        <w:t>mois + 2'400 fr./mois x 5 mois + 2'500 fr./mois x 8 mois + 3'130 fr.). A cette date, le président a alloué à l'intimée un arriéré de contributions d'entretien de 46'575 fr. (= 1’795 fr./mois x 3 mois + 1’730 fr. x 10 mois + 1'700 fr./mois x 13 mois + 1’790 fr.). Partant, le grief est mal fondé. 3. En deuxième lieu, l’appelant reproche au président d'avoir violé son droit à l'obtention d'une décision motivée, composante du droit d'être entendu, en n'indiquant pas les raisons pour lesquelles les contributions allouées étaient compatibles avec la règle selon laquelle le dernier niveau de vie pendant la vie commune représente la limite du droit à l'entretien, alors que l’appelant avait, prétend-il, expressément allégué et prouvé en première instance le train de vie des parties durant la vie commune et qu’avec les contributions qui lui étaient allouées, l'intimée pouvait, selon l’appelant, financer un train de vie supérieur à celui qui était le sien durant la vie commune. L'intimée conteste quant à elle le calcul du train de vie des parties pendant la vie commune présenté par l’appelant. 3.1 3.1.1 Le droit d'être entendu garanti par l'art. 29 al. 2 Cst. impose au juge de motiver sa décision, permettant ainsi au justiciable d'exercer son droit de recours en connaissance de cause et à l'autorité de recours d'exercer un contrôle efficace (ATF 136 l 229 consid. 5.2 ; 121 l 54 consid. 2c ; TF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 1 et les références).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135 l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137 l 195 consid. 2.3.2). 3.1.2 Selon la jurisprudence, le train de vie mené jusqu'à la cessation de la vie commune est la limite supérieure du droit à l'entretien. Même avant le divorce, les contributions d'entretien ne doivent pas être fixées de manière à faire bénéficier l'époux crédirentier d'un niveau de vie supérieur à celui mené durant la vie commune (ATF 140 III 337 consid. 4.2.1, JdT 2015 Il 227 ; Stoudmann, Le divorce en pratique, 3 ème éd. 2025, p. 368). Cela étant, la limite ainsi fixée n'a pas pour conséquence que le droit à l'entretien de l'époux crédirentier serait limité au total des dépenses qu'il engageait du temps de la vie commune pour le financement de son propre entretien ; pour que les contributions permettent au crédirentier de maintenir son train de vie, il faut que soient ajoutés à ce total les frais supplémentaires rendus nécessaires par l'entretien de deux ménages séparés (ATF 147 III 293 consid. 4.4 ; TF 5A_476/2023 du 28 février 2024 consid. 3.2.2). 3.2 Dans le passage précité de son mémoire, l’appelant se plaint d'abord de ce que le président ne se soit pas prononcé sur ses arguments en relation avec la limite supérieure du droit à l'entretien, puis il allègue qu'au dernier état de la vie commune, le revenu global des parties s'élevait à 11'197 fr. 35 net, que leurs charges s’élevaient à 7'662 fr. 90, que leur disponible global se montrait ainsi à 3'534 fr. 45 et que l'intimée disposerait par conséquent de 1'767 fr. 20 (= 3'534 fr. 45 : 2) au plus pour financer son propre train de vie ; l’appelant en conclut que les contributions d’entretien à allouer à l'intimée ne pouvaient en aucune façon dépasser ce dernier montant. Il est toutefois manifeste que, dans son raisonnement, l’appelant omet les frais supplémentaires que l'intimée doit supporter du fait que les parties entretiennent désormais deux ménages séparés. Ces frais supplémentaires comprennent notamment la différence des frais de logement – l'intimée payant désormais un loyer de 998 fr. par mois, alors qu'elle partageait auparavant avec l’appelant un logement qui leur coûtait 718 fr. par mois pour les deux – et la différence du montant de base – le montant de base de l'intimée étant désormais de 1'200 fr. alors qu’elle vivait auparavant avec l’appelant et que leur montant de base était de 1’700 fr. pour les deux – de sorte que ses frais supplémentaires sont au minimum de 989 fr. par mois (= 998 fr. - 718 fr. : 2 + 1'200 fr. – 1'700 fr. : 2). Si l'on ajoute ce dernier montant à celui de 1’765 fr. articulé par l’appelant comme total des dépenses de l'intimée pour financer son train de vie pendant la vie commune, on arrive à des contributions d’entretien maximales de 2'754 fr. par mois. Les contributions d’entretien allouées par le président étant largement inférieures à ce montant, il est manifeste que les contributions allouées par celui-ci ne dépassent pas le maximum compatible avec la règle selon laquelle le train de vie mené durant la vie commune constitue la limite maximale du droit à l'entretien. Dans ces conditions, il serait parfaitement vain d'annuler la décision attaquée et de renvoyer la cause au président pour qu'il se prononce sur l'argumentation de l’appelant en lien avec la limite maximale du droit à l'entretien. Le juge de céans ayant pu examiner cette argumentation avec le même pouvoir d'examen que le président et exposer en quoi elle est infondée dans la motivation du présent arrêt, la violation du droit à une décision motivée est guérie. Partant, le grief doit être rejeté. 4. L'appelant reproche au président d'avoir refusé d'imputer un revenu hypothétique à l'intimée, en se fondant sur une attestation de l'employeur de l'intéressée selon laquelle celle-ci avait été contrainte de réduire son taux d'activité à 78,75 % pour des raisons médicales, alors que le président avait pourtant constaté que les certificats médicaux versés au dossier n'étaient pas probants. Il soutient que ni l'âge ni l'état de santé de l'intimée ne l'empêcheraient de travailler à 100 %, qu'il serait vraisemblable que l'intimée exercerait en plus de son emploi salarié une activité commerciale en lien avec son entreprise [...], ainsi qu'une activité chorale intense, et qu'il y aurait dès lors lieu de lui imputer un revenu hypothétique correspondant à une activité à 100 % dans les activités salariées qu'elle a exercées à temps partiel. L'intimée conteste le grief, en se fondant notamment sur trois pièces nouvelles qui concernent son état de santé. 4.1 4.1.1 Sur la base de l’art. 317 al. 1 CPC susvisé (cf. supra consid. 1.2.1),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du 15 juillet 2020 consid. 8.1.2). Les vrais nova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quoiqu'avec une terminologie différente, Bastons Bulletti, Nova potestatifs : de faux vrais nova , de véritables pseudo nova , CPC Online du 1 er octobre 2020, n. 7 in fine ; voir aussi la note de Lorenz Droese, in RSPC [Revue suisse de procédure civile] 2020 pp. 463 ss). Il en va de même pour les moyens de preuve créés après la fixation de l'état de fait et que la partie aurait pu créer ou faire créer avant, par exemple pour un certificat médical établi à la demande de la partie après la fixation de l'état de fait en première instance mais en vue d'attester une maladie dont elle savait déjà souffrir avant la fixation de l'état de fait en première instance (cf. TF 5A_788/2017 du 2 juillet 2018 consid. 4.2). 4.1.2 En l'espèce, les trois titres que l'intimée produit pour la première fois en deuxième instance sont la copie d'une lettre de son conseil au président du 14 octobre 2024 avec, en annexe, une copie partielle (caviardée) d'un rapport médical adressé le 3 octobre 2024 à l'Office de l’assurance-invalidité du canton de Vaud par le Dre P.________, spécialiste FMH en médecine interne générale (pièce 2, 2 ème instance), des copies de certificats médicaux du Dr H.________, psychiatre FMH, des 14 octobre, 28 octobre et 11 novembre 2024 (pièce 3, 2 ème instance), ainsi qu'un rapport médical rédigé le 21 janvier 2025 par le Dr H.________ à l'attention, selon l'intitulé du titre sur le bordereau des pièces produites à l'appui de la réponse sur appel, du médecin-conseil de [...] Assurances (pièce 4, 2 ème instance). Ces titres sont postérieurs au commencement des délibérations en première instance et constituent donc de vrais nova . Les certificats médicaux concernent l'état de santé de l’intimée après le début des délibérations. Les rapports médicaux ont été établis à la demande de tiers, non de l'intimée, et ne sont donc pas des nova potestatifs ; la lettre du conseil de l'intimée du 14 octobre 2024 est une lettre d'accompagnement rédigée à l'occasion de la production dans la procédure de divorce du rapport médical du 3 octobre 2024. Ces titres sont dès lors recevables en vertu de l'art. 317 al. 1 CPC. 4.2 4.2.1 Pour fixer la contribution d'entretien, le juge doit en principe tenir compte du revenu effectif des parties ;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137 III 102 consid. 4.2.2.2 ; TF 5A_945/2022 du 2 avril 2024 consid. 6.1 ; TF 5A_22/2023 du 6 février 2024 consid. 4.1 et les références citées ; TF 5A_469/2023 du 13 décembre 2023 consid. 3.1). Le Tribunal fédéral considère que, s'agissant de l'obligation d'enfants mineurs, les exigences à l'égard des père et mère sont particulièrement élevées, de sorte que ceux-ci doivent réellement épuiser leur capacité maximale de travail (TF 5A_469/2023 précité consid. 3.1 ; TF 5A_79/2023 du 24 août 2023 consid. 5.1). Cette rigueur tend désormais à s’appliquer également dans les relations entre époux après le divorce (ATF 147 III 249 consid. 3.4.4, JdT 2021 II 195). Cela implique qu'il peut aussi être tenu compte des possibilités de gain qui n'exigent pas de formation professionnelle et se trouvent dans la tranche des bas salaires (Stoudmann, op. cit. , p. 85).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 TF 5A_945/2022 précité consid. 6.1 ; TF 5A_22/2023 précité consid. 4.1 et les références citées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5A_944/2021 précité consid. 4.1 ; TF 5A_191/2021 du 22 février 2022 consid. 5.1.2 et les références citées). 4.2.2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143 III 233 consid. 3.2 ; 137 III 102 consid. 4.2.2.2 ; Juge unique CACI 4 juin 2024/244 consid. 4.2.1).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 ; TF 5A_553/2020 du 16 février 2021 consid. 5.2.1). Dans cette hypothèse, le fait que le débiteur ne peut pas revenir en arrière et modifier son revenu réalisé dans le passé n'empêche pas la prise en compte rétroactive d'un revenu hypothétique (TF 5A_561/2020 du 3 mars 2021 consid. 5.1.3 ; TF 5A_184/2015 du 22 janvier 2016 consid. 3.4 ; Juge unique CACI 4 juin 2024/244 consid. 4.2.1). Les mêmes règles valent pour le créancier d'aliment (ATF 147 III 249 consid. 3.4 4, JdT 2021 II 195 et les références citées). 4.2.3 Une incapacité de travail durable, telle qu'attestée par des certificats médicaux, peut, selon les circonstances, suffire à admettre que l'intéressé ne peut effectivement pas trouver un emploi. Toutefois, le dépôt de n'importe quel certificat médical ne suffit pas à établir une incapacité de travail. L'élément déterminant pour la valeur probante d'un rapport médical n'est ni son origine ni sa désignation, mais son contenu. Il importe notamment que la description des interférences médicales soit claire et que ses conclusions soient bien motivées (TF 5A_88/2023 précité consid. 3.3.3 ; TF 5A_266/2017 du 29 novembre 2017 consid. 6.3). Une attestation médicale qui relève l'existence d'une incapacité de travail sans autres explications n'a ainsi pas une grande force probante (TF 5A_88/2023 précité consid. 3.3.3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5A_88/2023 précité consid. 3.3.3).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4.3 En l'espèce, au moment de la séparation en août 2021, l’intimée était âgée de 50 ans et n'avait déjà plus la charge des enfants des parties. Elle a travaillé comme auxiliaire de crèche à 60 % de novembre 2021 à juillet 2022 et elle a suivi une formation en la matière d'août 2021 à août 2022 à un taux équivalent à 40 %. Il est dès lors en principe exigible d'elle qu'elle exerce à 100 % une activité d'auxiliaire de crèche. Le seul élément qui pourrait aller en sens contraire est son état de santé, qui, selon elle, l'empêche de travailler à plus de 78,75 %. Les pièces produites par l’intimée ne permettent pas de déterminer le diagnostic posé par le médecin généraliste de l'intéressée, les passages topiques du rapport du 3 octobre 2024 (annexe de la pièce 2, 2 ème instance) ayant été caviardés. En revanche, il ressort du rapport du 21 janvier 2025 du psychiatre de l'intimée (pièce 4, 2 ème instance) que celle-ci souffre, selon ce spécialiste, d'un épisode dépressif sévère sans symptômes psychotiques (CIM-10 F 32.2), avec dislocation de la famille par la séparation et le divorce (CIM-10 Z 63.5), et de stress-post-traumatique (CIM-10 F 43.1) avec difficultés liées à l’emploi (CIM-10 Z 56). Ce médecin explique qu'il en résulte des limitations effectives à l'exercice de l'activité professionnelle habituelle de sa patiente, consistant pour l'essentiel dans un ralentissement psychique et moteur qui s'accompagne de troubles de la concentration, de troubles de la mémoire de fixation et d'une baisse de la flexibilité psychique incompatibles avec un travail avec de petits enfants, dans des troubles du sommeil qui accentuent la fatigue, dans une absence de plaisir, d'initiative, de motivation et dans des crises d'angoisse, des ruminations permanentes et des flash-back de propos injurieux du mari entraînant une inconstance psychique incompatible avec l'activité actuelle. Le Dr H.________ ne chiffre pas le taux d'incapacité de travail qui en découle et réserve son pronostic sur la capacité de travail de l'intimée à six mois. Même si on ignore le diagnostic posé par la Dre P.________, médecin généraliste de l'intimée, les pièces produites par l'intimée permettent de comprendre que, selon ce médecin, les troubles somatiques dont souffre également l'intimée risquent d'être aggravés par son activité actuelle, qui consiste à s'occuper d'enfants handicapés ou difficiles, qui tirent souvent sur les bras de l'intimée, qui nécessitent de se baisser et de les accompagner dans leurs activités, et qui requièrent une attention permanente. Selon le Dre P.________, l'intimée doit changer de voie professionnelle. Compte tenu de ces explications, les incapacités de travail mentionnées dans les divers certificats médicaux qui figurent au dossier paraissent vraisemblables, lors même qu'elles ont été constatées par les médecins traitants de l'intimée. Quant à l'activité que l'intimée exercerait à titre indépendant pour son entreprise [...], l’appelant n’en rend pas vraisemblable l'ampleur. D'abord, pour prouver cette activité, il se base sur la prétendue réitération de sa réquisition de production des pièces 51 et 52, toutefois irrecevables (cf. ci-dessus, consid. 1.2.2). Ensuite, comme le précise l'intimée dans sa réponse sur appel, elle a produit en première instance un relevé de ses comptes bancaires, qui ne laissent apparaître aucun revenu tiré de la commercialisation de produits artisanaux sous la marque [...]. C'est dès lors en vain que l’appelant veut faire retenir que l'intimée aurait des revenus complémentaires en sus de son salaire ou qu'elle aurait une capacité de travail supérieure à celle retenue par les médecins. Quant à l'éventuelle activité chorale de l'intimée, elle ne témoignerait pas d'une capacité de travail. Il s'ensuit que c'est à bon droit que le président a calculé les contributions d'entretien en se fondant sur le revenu effectif de l'intimée. Certes, si l'incompatibilité de l'activité professionnelle actuelle de l'intimée avec son état de santé venait à se pérenniser, l'intéressée devrait changer de voie professionnelle et prendre un autre emploi, adapté à son état de santé. Mais, dès lors que le psychiatre de l'intimée réserve son pronostic sur la capacité de travail pour six mois, il n'y a en tout cas pas lieu d'examiner avant la fin juillet 2025 s'il faut fixer à l'intimée un délai approprié pour prendre un autre emploi. Au surplus, l’appelant, sous réserve du considérant 5 infra , ne formule aucune critique concrète quant aux détails des calculs des contributions d’entretien fixées en première instance. Les seules modifications qu'il requiert sont celles qui découleraient de l'imputation à l'intimée d’un revenu hypothétique d'une activité à 100% (« frais de repas ajustés pour un 100 % » [qui sont en sus en faveur de l’intimée]), modifications qu'il n'y a dès lors pas lieu d'opérer, puisqu'aucun revenu hypothétique n'est imputé à l'intimée. En l'état, le grief de l’appelant est donc mal fondé. 5. 5.1 Enfin, l’appelant fait valoir qu’il se serait acquitté seul des acomptes provisionnels d’impôts du couple pour l’année fiscale 2022 pour un montant total de 20'508 fr. 55 [ recte : 20'308 fr. 55] et que l’intimée aurait perçu de la part des autorités fiscales en remboursement la moitié de ce montant, soit 10'154 fr. 25. Cette dernière somme devrait dès lors selon lui être déduite des contributions d’entretien dues à l’intimée. L'intimée conteste le grief en demandant que l’appelant soit renvoyé à régler ce point dans la liquidation du régime matrimonial. 5.2 En l’espèce, il ressort des pièces invoquées par l’appelant que les parties ont tardé à informer les autorités fiscales de leur séparation et que l’appelant a payé les acomptes pour l’année 2022 pour l’imposition du couple. Si, comme l’allègue l’appelant, ces acomptes ont été remboursés par moitié à chacune des parties, il n’en reste pas moins que chaque partie a dû, ensuite, avancer puis payer ses propres impôts. Ce sont de ces derniers – et non des impôts du couple – dont il est tenu compte dans le calcul des pensions. Il n’y a dès lors pas lieu de considérer le remboursement des acomptes d’impôts comme des acomptes de pension. Ce point doit donc être réglé dans la liquidation du régime matrimonial. 6. 6.1 En définitive, l’appel sera rejeté et l’ordonnance entreprise confirmée. 6.2 Les frais judiciaires de deuxième instance seront arrêtés à 800 fr., soit 600 fr. pour l’émolument du présent arrêt (art. 65 al. 2 TFJC [tarif des frais judiciaires civils du 28 septembre 2010 ; BLV 270.11.5]) et 200 fr. pour l’émolument de décision relative à l’effet suspensif (art. 7 al. 1 et 60 par analogie TFJC). Ils seront mis à la charge de l’appelant, qui succombe (art. 106 al. 1 CPC), le sort des frais de la décision sur effet suspensif suivant le sort de l’appel (cf. art. 107 al. 1 let. c CPC). L’appelant versera à l’intimée des dépens de deuxième instance de 1'500 fr. (art. 3 al. 2 et 7 TDC [tarif des dépens en matière civile du 23 novembre 2010 ; BLV 270.11.6]). Par ces motifs, le juge unique de la Cour d’appel civile prononce : I. L’appel est rejeté. II. L’ordonnance est confirmée III. Les frais judiciaires de deuxième instance, arrêtés à 800 fr. (huit cents francs), sont mis à la charge de l’appelant A.T.________. IV. L’appelant A.T.________ versera à l’intimée B.T.________ le montant de 1’500 fr. (mille cinq cents francs) à titre de dépens de deuxième instance. V. L’arrêt est exécutoire. Le juge unique :               La greffière : Du Le présent arrêt, dont la rédaction a été approuvée à huis clos, est notifié en expédition complète à : ‑ Me Anaïs Brodard, avocate (pour A.T.________), ‑ Me Vanessa Simioni, avocate (pour B.T.________), et communiqué, par l'envoi de photocopies, à : ‑ M. le Président du Tribunal de l’arrondissement de Lausanne. Le juge unique de la Cour d’appel civile considère que la valeur litigieuse est de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