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341 vom 2. Juli 2025</w:t>
      </w:r>
    </w:p>
    <w:p>
      <w:r>
        <w:t>VD Tribunal cantonal, 2025-07-02, FR</w:t>
      </w:r>
    </w:p>
    <w:p>
      <w:r>
        <w:rPr>
          <w:b/>
        </w:rPr>
        <w:t xml:space="preserve">Quelle: </w:t>
      </w:r>
      <w:r>
        <w:t>https://mcp.opencaselaw.ch/entscheid/vd_findinfo_HC___2025___341</w:t>
      </w:r>
    </w:p>
    <w:p>
      <w:r>
        <w:t>FR: VD_FINDINFO HC / 2025 / 341 du 2 juillet 2025</w:t>
      </w:r>
    </w:p>
    <w:p>
      <w:r>
        <w:t>IT: VD_FINDINFO HC / 2025 / 341 del 2 luglio 2025</w:t>
      </w:r>
    </w:p>
    <w:p>
      <w:pPr>
        <w:pStyle w:val="Heading2"/>
      </w:pPr>
      <w:r>
        <w:t>Regeste</w:t>
      </w:r>
    </w:p>
    <w:p>
      <w:r>
        <w:t>SUSPENSION DE LA PROCÉDURE, JUGEMENT DE DIVORCE, ACTION EN MODIFICATION, OBLIGATION D'ENTRETIEN, REVENU HYPOTHÉTIQUE, ENFANT, MODIFICATION DES CIRCONSTANCES, RENTE D'INVALIDITÉ | 285a al. 3 CC, 286 al. 2 CC, 126 CPC (CH)</w:t>
      </w:r>
    </w:p>
    <w:p>
      <w:pPr>
        <w:pStyle w:val="Heading2"/>
      </w:pPr>
      <w:r>
        <w:t>Erwägungen</w:t>
      </w:r>
    </w:p>
    <w:p>
      <w:r>
        <w:rPr>
          <w:b/>
        </w:rPr>
        <w:t>E. 5.1</w:t>
      </w:r>
    </w:p>
    <w:p>
      <w:r>
        <w:t>Dans un dernier grief, l'appelant reproche aux premiers juges de ne pas avoir tenu compte du fait qu'il ne voyait plus son fils depuis six ans dans le cadre de la fixation de la contribution d'entretien.</w:t>
      </w:r>
    </w:p>
    <w:p>
      <w:r>
        <w:rPr>
          <w:b/>
        </w:rPr>
        <w:t>E. 5.2</w:t>
      </w:r>
    </w:p>
    <w:p>
      <w:r>
        <w:t>Ce grief doit être rejeté puisque les circonstances personnelles ne jouent pas de rôle lorsque l'entretien est fixé avant la majorité. Ce critère est uniquement déterminant pour les enfants majeurs (Stoudmann, Le divorce en pratique, 3 ème éd. 2025, p. 470 ; Meier, Entretien de l'enfant majeur, in JdT 2019 II 4 ss, spécifiquement p. 32).</w:t>
      </w:r>
    </w:p>
    <w:p>
      <w:r>
        <w:rPr>
          <w:b/>
        </w:rPr>
        <w:t>E. 6</w:t>
      </w:r>
    </w:p>
    <w:p>
      <w:r>
        <w:t>Au vu de ce qui précède, l'appel, manifestement mal fondé, doit être rejeté en application de l'art. 312 al. 1 CPC et le jugement entrepris confirmé.</w:t>
      </w:r>
    </w:p>
    <w:p>
      <w:r>
        <w:rPr>
          <w:b/>
        </w:rPr>
        <w:t>E. 6.1</w:t>
      </w:r>
    </w:p>
    <w:p>
      <w:r>
        <w:t>Les frais judiciaires de deuxième instance – arrêtés à 600 fr. (art. 63 al. 1 TFJC [tarif des frais judiciaires civils du 28 septembre 2010 ; BLV 270.11.5) – seront mis à la charge de l’appelant qui succombe (art. 106 al. 1 CPC) et laissés provisoirement à la charge de l'Etat compte tenu de l’assistance judiciaire dont il bénéficie (art. 122 al. 1 let. b CPC).</w:t>
      </w:r>
    </w:p>
    <w:p>
      <w:r>
        <w:rPr>
          <w:b/>
        </w:rPr>
        <w:t>E. 6.2</w:t>
      </w:r>
    </w:p>
    <w:p>
      <w:r>
        <w:t>II ne sera pas alloué de dépens de deuxième instance, l'intimée n'ayant pas été invitée à se déterminer sur l'appel.</w:t>
      </w:r>
    </w:p>
    <w:p>
      <w:r>
        <w:rPr>
          <w:b/>
        </w:rPr>
        <w:t>E. 6.3.1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breveté, respectivement de 110 fr. s’agissant d’un avocat stagiaire (art. 2 al. 1 let. a et b RAJ [règlement du 7 décembre 2010 sur l’assistance judiciaire en matière civile ; BLV 211.02.3]).</w:t>
      </w:r>
    </w:p>
    <w:p>
      <w:r>
        <w:rPr>
          <w:b/>
        </w:rPr>
        <w:t>E. 6.3.2</w:t>
      </w:r>
    </w:p>
    <w:p>
      <w:r>
        <w:t>En l’espèce, dans sa liste d’opérations du 9 janvier 2025, Me Thanh-My Tran-Nhu indique que 5 heures et 54 minutes ont été consacrées à la procédure de deuxième instance, dont 4 heures par elle-même, 1 heure et 36 minutes par son associée et 12 minutes par l’avocate-stagiaire. Ce total ne paraît pas justifié. En particulier, le temps invoqué pour les entretiens téléphoniques et les échanges de correspondance des avocates brevetées avec le client, soit 2 heures et 45 minutes, est excessif. On rappelle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(ATF 109 Ia 107 consid. 3b, JdT 1984 IV 95, SJ 1984 49 ; TF 5D_118/2021 du 15 octobre 2021 consid. 5.1.3). En effet, il ne paraît notamment pas nécessaire de passer davantage de temps à échanger avec le client qu’à rédiger l’acte d’appel. Il est encore souligné que ce dernier porte uniquement sur la question de l’imputation d’un revenu hypothétique à l’appelant. Or, elle ne nécessite pas de longs échanges avec le client comme cela pourrait se présenter en cas de remise en cause de l’intégralité des charges des parties ou de contestation tant des droits parentaux que de la contribution d’entretien. On relève par ailleurs que plusieurs courriels à l’appelant sont comptabilisés pour 5 minutes, ce qui donne à penser qu’il s’agit en réalité de mémos de transmission, qui ne sauraient être pris en compte à titre d’activité déployée par le conseil d’office, s’agissant de pur travail de secrétariat inclus dans le tarif horaire de l’avocat (CACI du 14 avril 2025/172 ; Juge unique CACI du 1 er octobre 2024/443) ; il en va de même de la seule opération de l’avocate-stagiaire de 12 minutes qui consiste en un courrier adressé à la Cour de céans. En définitive, le total des opérations dudit conseil – pour les deux avocates brevetées – doit être réduit à 3 heures et 45 minutes et l’opération de l’avocate-stagiaire de 12 minutes totalement retranchée. Le défraiement de Me Thanh-My Tran-Nhu pour ses honoraires sera ainsi arrêté à 675 fr. (3h45 x 180 fr./h) pour ses opérations et celles de son associée, Me Mirjam Richon-Bruder. Il faut ajouter à ce montant des débours par 13 fr. 50 (2 % de 675 fr. ; art. 3bis al. 1 RAJ), ainsi que la TVA à 8,1 % sur le tout, soit par 55 fr. 75 (8,1 % de 688 fr. 50 ; art. 2 al. 3 RAJ). L’indemnité d’office de Me Thanh-My Tran-Nhu sera dès lors arrêtée à un montant total arrondi de 745 francs.</w:t>
      </w:r>
    </w:p>
    <w:p>
      <w:r>
        <w:rPr>
          <w:b/>
        </w:rPr>
        <w:t>E. 6.4</w:t>
      </w:r>
    </w:p>
    <w:p>
      <w:r>
        <w:t>Le bénéficiaire de l'assistance judiciaire est tenu au remboursement des frais judiciaires et de l'indemnité de son conseil d'office, laissés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