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32 vom 5. Februar 2025</w:t>
      </w:r>
    </w:p>
    <w:p>
      <w:r>
        <w:t>VD Tribunal cantonal, 2025-02-05, FR</w:t>
      </w:r>
    </w:p>
    <w:p>
      <w:r>
        <w:rPr>
          <w:b/>
        </w:rPr>
        <w:t xml:space="preserve">Quelle: </w:t>
      </w:r>
      <w:r>
        <w:t>https://mcp.opencaselaw.ch/entscheid/vd_findinfo_HC___2025___32</w:t>
      </w:r>
    </w:p>
    <w:p>
      <w:r>
        <w:t>FR: VD_FINDINFO HC / 2025 / 32 du 5 février 2025</w:t>
      </w:r>
    </w:p>
    <w:p>
      <w:r>
        <w:t>IT: VD_FINDINFO HC / 2025 / 32 del 5 febbraio 2025</w:t>
      </w:r>
    </w:p>
    <w:p>
      <w:pPr>
        <w:pStyle w:val="Heading2"/>
      </w:pPr>
      <w:r>
        <w:t>Regeste</w:t>
      </w:r>
    </w:p>
    <w:p>
      <w:r>
        <w:t>MESURE PROVISIONNELLE, ENFANT, OBLIGATION D'ENTRETIEN, GARDE DE FAIT, MODIFICATION DES CIRCONSTANCES | 179 CC, 285 al. 1 CC, 310 CC</w:t>
      </w:r>
    </w:p>
    <w:p>
      <w:pPr>
        <w:pStyle w:val="Heading2"/>
      </w:pPr>
      <w:r>
        <w:t>Erwägungen</w:t>
      </w:r>
    </w:p>
    <w:p>
      <w:r>
        <w:rPr>
          <w:b/>
        </w:rPr>
        <w:t>E. 25</w:t>
      </w:r>
    </w:p>
    <w:p>
      <w:r>
        <w:t>Par courrier du 27 août 2024, le SCTP a déposé des pièces concernant la situation financière d'A.________. Le 30 août 2024, l’intimé a produit un bordereau de pièces contenant ses six dernières fiches de salaire ainsi que son certificat de salaire pour l'année 2023. A la même date, l’appelante a déposé un bordereau de pièces contenant son contrat de travail et un décompte de salaire pour les mois d'avril et mai 2024. En droit : 1. 1.1 L'appel est recevable contre les ordonnances de mesures provisionnelles et les mesures protectrices de l'union conjugale dans les causes non patrimoniales ou dont la valeur litigieuse, au dernier état des conclusions devant l'autorité inférieure, est de 10'000 fr. au moins (art. 308 al. 2 CPC). L'appel doit être déposé dans les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173.011). 1.2 Formé en temps utile par une partie qui a un intérêt digne de protection (art. 59 al. 2 let. a CPC), l'appel, portant tant sur des conclusions non patrimoniales que sur des conclusions patrimoniales qui, capitalisées, sont supérieures à 10'000 fr.,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 215/2017 du 15 janvier 2019 consid. 3.4 ; TF 4A_452/2016 du 2 novembre 2016 consid. 3). 2.2 Selon l'art. 316 al. 3 CPC,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L'art. 316 al. 3 CPC ne confère pas à l'appelant un droit à la réouverture de la procédure probatoire et à l'administration des preuves (ATF 138 III 374, RSPC 2012 p. 414 ; Jeandin, Commentaire romand, Code de procédure civile [CR-CPC], 2 e éd. 2019, n. 5 ad art. 316 CPC). 2.3 2.3.1 L'art. 296 al. 1 CPC prévoit une maxime inquisitoire illimitée en ce qui concerne les questions relatives aux enfants (TF 5A 245/2019 du 1 er juillet 2019 consid. 3.2.1 et les réf. citées). Quant à l'art. 296 al. 3 CPC, il impose la maxime d'office (TF 5A_608/2014 du 16 décembre 2014 consid. 4.2.1 ; TF 5A_194/2012 du 8 mai 2012 consid. 4.2) ; dans ce cadre, le juge ordonne les mesures nécessaires sans être lié par les conclusions des parties et même en l'absence de conclusions (ATF 128 III 411 consid. 3.1 et les réf. cit.).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Ni l'intérêt public ni la maxime inquisitoire n'exigent que l'on accepte des preuves superflues, notamment lorsque le juge est convaincu, sur la base des preuves administrées, de l'existence ou de la non-existence d'un fait (TF 5P.285/2000 du 14 septembre 2000 consid. 4). 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réf. cit. ; TF 5A_582/2020 du 7 octobre 2021 consid. 4.1.4). 2.3.2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(TF 5A_67/2020 du 10 août 2020 consid. 3.3.2 ; TF 5A_361/2011 du 7 décembre 2011 consid. 5.3.2 et les références citées). 2.4 En l'espèce, la maxime inquisitoire illimitée est applicable s’agissant du maintien de la garde des enfants auprès de la mère, du droit de visite du père à leur égard et de la contribution à verser pour leur entretien. Les mesures d'instruction requises par les parties, en tant qu’elles concernent ces points, sont recevables, tout comme les pièces qu'elles ont produites en appel. Il en sera tenu compte dans la mesure utile. 3. 3.1 Invoquant une violation de l'art. 268 CPC, l'appelante invoque l'absence de faits nouveaux depuis l'ordonnance de mesures provisionnelles de juillet 2023. Elle estime en substance que les événements relatés par la curatrice ne peuvent être considérés comme de nouvelles démonstrations d'incompétence parentale, que les parties ne s'opposent pas à un travail sur la coparentalité et que le rapport rendu le 31 mai 2024 par le SCTP est largement prématuré. Invoquant l'art. 310 CC, l'appelante fait valoir en outre que la situation ne justifie pas un placement, que le placement concernant A.________ n'est pas nécessaire, les parties ayant pu s'accorder sur les mesures qu'il s'agissait de prendre en faveur de cette dernière et qu'une modification de la garde n'est pas dans l'intérêt des enfants, dès lors que cette solution aura pour effet de renforcer le conflit parental en légitimant la position du père. Elle critique le contenu du rapport rendu le 31 mai 2024 par le SCTP, relevant que les motifs exposés sont insuffisants pour prononcer un placement, cette mesure étant disproportionnée et inadéquate. 3.2 3.2.1 Dans la mesure où elles ne sont pas par nature irréversibles, les mesures provisionnelles en cas de divorce peuvent être modifiées en tout temps si des éléments nouveaux le justifient. Cela découle d'une part de l'art. 179 al. 1 CC, applicable par renvoi de l'art. 276 al. 1 CPC, d'autre part de la règle générale de l'art. 268 al. 1 CPC, applicable aux mesures provisionnelles de toute nature. Peuvent être pertinentes à cet égard par exemple un déménagement, des changements d'horaires ou de scolarisation d'un enfant, des modifications de la qualité de ses relations avec ses parents, des nouveautés concernant les revenus, la fortune ou les charges des parties (Tappy, CR-CPC, n. 28 ad art. 276 CPC).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(ATF 143 III 617 consid. 3.1 et les réf. cit. ; TF 5A_895 2022 précité consid. 10.2.1 et les réf. cit. ; TF 5A_42/2022 du 19 mai 2022 consid. 4.1). Le moment déterminant pour apprécier si les circonstances nouvelles se sont produites est la date du dépôt de la demande de modification (ATF 137 III 604 consid. 4.1.1 et les réf. cit. ; TF 5A_779/2023 du 30 avril 2024 consid. 4.1.1 ; TF 5A_42/2022 précité consid. 4.1).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5A_895/2022 précité consid. 10.2.1 ; TF 5A_42/2022 précité consid. 4.1). S'agissant de la modification de la garde (art. 179 al. 1, 2 e phr., art. 134 al. 2 et art.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 1016/2021 du 5 avril 2022 consid. 4.1 et les réf. citées). 3.2.2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(TF 5A_911/2023 du 27 février 2024 consid. 4.1.1 et les réf. citées ; TF 5A_164/2022 du 16 août 2022 consid. 3 les réf. citées). 3.2.3 L’art. 298 al. 1 CPC prévoit que les enfants sont entendus personnellement et de manière appropriée par le tribunal ou un tiers nommé à cet effet, pour autant que leur âge ou d’autres justes motifs ne s’y opposent pas. En principe, l’enfant ne doit être entendu qu’une fois dans le courant de la procédure, que ce soit en première ou en seconde instance, pourvu qu’il ait été entendu sur les points pertinents pour la décision et que les résultats de son audition soient toujours actuels (ATF 146 III 203 consid. 3.3.2 ; TF 5A_967/2021 du 24 juin 2022 consid. 2.1 ; TF 5A_729/2020 du 4 février 2021 consid. 3.3.1.1). Il n'y a pas lieu de renouveler l'audition devant l'autorité cantonale supérieure lorsque les circonstances ne se sont pas modifiées de manière essentielle depuis la dernière audition (TF 5A_56/2020 du 17 août 2020 consid. 4.2 ; TF 5A_724/2015 du 2 juin 2016 consid. 4.3, non publié à l’ATF 142 I 188 ; TF 5A_911/2012 du 14 février 2013 consid. 7.2.3, FamPra.ch 2013 p. 531), le seul fait que la dernière audition remonte à deux ans n’étant pas suffisant (TF 5A_56/2020 du 17 août 2020 consid. 6.3). 3.3 3.3.1 L’UEMS a déposé son rapport d'évaluation en date du 7 février 2023. Elle a conclu à la mise en place d'une garde alternée sur les enfants B.________ et E.________, à l'élargissement du droit de visite de l’intimé sur l'enfant I.________, à ce que les modalités de prise en charge de cette dernière soient similaires à celles de B.________ et E.________ dès qu'elle aurait atteint l'âge de six ans, à ce qu'aucun droit de visite sur l'enfant A.________ ne soit fixé en faveur de l’intimé, à l'institution d'une curatelle au sens de l'art. 306 al. 2 CC en faveur des quatre enfants, à la levée des curatelles d'assistance éducative et de surveillance des relations personnelles au sens de l'art. 308 al. 1 et 2 CC en faveur des quatre enfants et à ce que les parties débutent une thérapie de coparentalité. L'UEMS avait explicitement averti les parties, dans son rapport, que, si malgré les mesures proposées, les enfants étaient à nouveau sujet à démonstration des incompétences de l'un ou de l'autre des parents, il y aurait alors la nécessité pour le curateur d'envisager d'autres mesures tel un placement avec un retrait de l'autorité parentale, voire un transfert de garde chez l’intimé. Par ordonnance de mesures provisionnelles du 6 juillet 2023, la présidente a suivi les recommandations de l'UEMS tendant à ce que la garde sur les enfants B.________ et E.________ soit exercée de manière alternée entre les parents. S'agissant d'I.________, il a été décidé que la garde alternée ne commencerait que dès le 1 er février 2025, soit dès qu'elle aura atteint l'âge de six ans. 3.3.2 Le 31 mai 2024, [...] et [...] du SCTP ont déposé un rapport dans le cadre du mandat de curatelle à forme de l'art. 306 al. 2 CC. Il en résulte notamment que la gestion des rendez-vous médicaux restait compliquée, que l'appelante essayait de les gérer, mais les déplaçait sans consulter l'intimé, les fixait alors que les enfants étaient absents ou changeait de praticien sans raison apparente, qu'elle rencontrait des difficultés d'organisation et était vite dépassée par les différents rendez-vous. Les intervenants ont également le sentiment que l'appelante entretient les enfants dans un désir de surprotection avec des maux qui n'étaient pas les leurs, cette surprotection étant démontrée par des épisodes précis avec E.________, B.________ et I.________. Ils relèvent également le conflit de loyauté dans le lequel se trouve les enfants ; ainsi, A.________ s'est fait sermonée lorsqu'elle a eu des contacts avec son père ou a émis le souhait de le revoir ; E.________ a des propos qui ne sont pas adaptés à son âge, parlant notamment de traumatisme au motif que son père l'aurait une fois tenue par le bras, suspectant son père d'avoir caché des caméras dans sa chambre et mentionnant que son frère suivait les traces de son père. Les intervenants mentionnent la grande fatigue d'E.________ à l'école, due au conflit parental, la garde partagée n'étant pas gérée par les parents et l'enfant ayant besoin d'un cadre stable, ainsi que le fait que la mère n'arrive pas à protéger ses enfants de ses soucis personnels. S'agissant de la gestion financière, le SCTP a eu des contacts avec le dentiste et l'orthodontiste des enfants, qui ont expliqué que des factures étaient ouvertes pour les trois plus grands enfants, ce qui entravait la poursuite des traitements commencés. Tous ces éléments constatés par le SCTP sont nouveaux et justifient de réexaminer si les précédentes mesures provisionnelles portent atteinte au bien des enfants. Tel est le cas en l'occurrence. En effet, d'une part, la mère entretient les enfants dans un conflit de loyauté. Ainsi, on voit qu'A.________ ne peut se sentir libre de voir son père. E.________ tient des propos qui ne peuvent que lui avoir été soufflés par sa mère. D'autre part, la mère est inadéquate et surprotectrice, ce qui est démontré par le non-respect des avis médicaux concernant l'état de santé des enfants. Par ailleurs, non seulement elle ne suit pas les recommandations des médecins, mais met en péril les traitements dentaires, les factures n'étant pas honorées et peine également à gérer les divers rendez-vous médicaux des enfants. De plus, la garde alternée n'est pas propice à assurer la stabilité des enfants, compte tenu du conflit parental profond et leur manque de stabilité. Au regard de ces éléments, il convient de préserver les enfants du conflit parental massif et de suivre la proposition du SCTP tendant à prévoir un placement ou un transfert chez l’intimé avec un week-end sur deux et la moitié des vacances scolaires chez l’appelante, qui apparaît adéquate. En effet, comme l'a relevé ce service, un placement en institution des enfants serait néfaste, ce d'autant plus qu'ils seraient probablement séparés. Il est impératif que les enfants disposent désormais d'un cadre clair et d'une gestion adéquate des éléments qui entourent leur vie, ce que l’intimé est à même de leur apporter. Par ailleurs, ainsi qu'il en est fait mention dans le rapport du 31 mai 2024 du SCTP, l'ensemble des membres du réseau des enfants partage cette observation et estime qu'il s'agit de la meilleure solution pour la suite dans l'intérêt bien compris des enfants et de leur bon développement. En outre, cette mesure respecte le principe de proportionnalité, les différentes mesures de curatelles ordonnées tant durant la procédure de mesures protectrices de l'union conjugale que pendant la présente procédure s'étant révélées insuffisantes. 3.3.3 Les éléments au dossier sont suffisants, de sorte que les mesures d'instruction sollicitées par les parties doivent être rejetées. Les intervenants du SCTP ont rencontré les enfants et une audition supplémentaire de ces derniers ne s'impose pas. 4. L'appelante conteste ensuite les pensions dues à ses enfants, contestant le revenu hypothétique qui lui a été imputé, la prise en charge des coûts directs des enfants entre leurs parents et l’absence de répartition de l’excédent de l’intimé entre tous les membres de la famille. 4.1 4.1.1 L’appelante fait tout d’abord valoir qu'elle se trouve en incapacité de travail à 100% depuis le 19 août 2024, à la suite d'un accident, qu'elle doit subir une opération, si bien qu'on ne peut lui attribuer une capacité de gain de 100% et qu'elle n'est actuellement pas apte au placement. Selon elle, aucun revenu hypothétique ne devait ainsi lui être imputé. 4.1.2 Aux termes de l’art. 285 al. 1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Pour fixer la contribution d'entretien, le juge doit en principe tenir compte du revenu effectif des parties (ATF 143 III 233 consid. 3.2 ; ATF 137 III 102 consid. 4.2.2.2 ; pour le tout TF 5A_600/2019 du 9 décembre 2020 consid. 5.1.1).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dont on peut raisonnablement exiger d'elle qu'elle l'obtienne afin de remplir ses obligations, respectivement de pourvoir à son propre entretien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5A_690/2019 du 23 juin 2020 consid. 4.3.1 ; TF 5A_461/2019 du 6 mars 2020 consid. 3.1, FamPra.ch 2020 p. 488 ; TF 5A_99/2011 du 26 septembre 2011 consid. 7.4.1).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143 III 233 consid. 3.2 ; ATF 137 III 118 consid. 2.3 ; TF 5A_890/2020 du 2 décembre 2020 consid. 6.2 ; TF 5A_254/2019 du 18 juillet 2019 consid. 3.1).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 er juillet 2020 consid. 3.1 ; TF 5A_608/2019 du 16 janvier 2020 consid. 5.1.3). Il faut notamment examiner si les changements étaient prévisibles pour la partie concernée (TF 5A_224/2016 du 13 juin 2016 consid. 3.3 ; TF 5A_184/2015 du 22 janvier 2016 consid. 3.2).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(TF 5A 224/2016 du 13 juin 2016 consid. 3.3 et les arrêts cités).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(TF 5A_782/2016 du 31 mai 2017 consid. 5.3).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4.1.3 La première juge a considéré, en substance, que l'appelante n'avait pas produit de documents tendant à démontrer qu'elle se trouverait dans l'incapacité de travailler, que son étant de santé n'était pas de nature à l'empêcher d'exercer une activité lucrative à plein temps, compte tenu du fait qu'elle n'avait plus la garde des enfants et qu'un délai d'adaptation au 1 er janvier 2025 était suffisant, l’appelante n'ayant plus la garde de ses enfants depuis le 11 juillet 2024. Dans le cadre de la présente procédure, l'appelante a produit des certificats attestant une incapacité de travail du 19 août 6 novembre 2024, en raison d'un accident survenu le 15 août 2024. L'incapacité a pris fin le 7 novembre 2024. La première juge a donné à l'intéressée un délai d'adaptation de 6 mois. L'appelante n'allègue, ni ne démontre d'aucune manière que son incapacité de travail aurait pu l'empêcher de rechercher un emploi durant cette période. On peut donc confirmer le raisonnement de la première juge. 4.2 4.2.1 L’appelante considère ensuite que l’intimé disposerait d’un important disponible de 4'833 fr. 35 dans l’hypothèse où il aurait à sa charge l’entier des coûts directs des enfants, alors qu’elle-même était réduite à son minimum vital si une partie de la charge des coûts directs lui revenait, comme l’a retenu la première juge. Elle considère ainsi implicitement que cette situation justifierait de faire supporter l’entier des coûts directs des enfants par l’intimé même s’il en avait la garde. Cela était selon elle d’autant plus le cas que la décision du premier juge, qui la réduisait à son minimum vital, ne lui permettrait pas d’assumer financièrement son droit de visite sur les enfants. L’appelante soutient également que les enfants devraient pouvoir chacun bénéficier d’un quatorzième (soit la moitié de l’excédent attribué à hauteur de 1/7 par enfant) du disponible du père quand ils se trouvent chez elle, soit 345 fr. par enfant. Enfin, l’appelante fait également valoir qu’une part de deux septièmes de l'excédent de l'intimé aurait dû lui être attribuée personnellement. Elle soutient ainsi qu’elle aurait droit à une contribution d’entretien, qu’elle ne chiffre toutefois pas dans ses conclusions. 4.2.2 4.2.2.1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(Stoudmann, Le divorce en pratique, 2 e éd., Lausanne 2023, p. 163 et réf. cit. sous note infrapaginale n° 590). Lorsque les moyens sont limités, il convient de s’en tenir à ces charges, qui constituent le minimum vital LP (cf. ATF 147 III 265 précité consid. 7.2), étant rappelé que l'obligation d'entretien trouve sa limite dans la capacité contributive du débirentier, en ce sens que le minimum vital de celui-ci doit être préservé (ATF 147 III 265 précité consid. 6.2 ; ATF 141 III 401 consid. 4.1; ATFv140 III 337 consid. 4.3 et les références). 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 Chez les parents,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4.2.2.2 Le Tribunal fédéral considère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5A_584/2018 du 10 octobre 2018 consid. 4.3). Eu égard au principe de l’équivalence des prestations en argent et en nature (ATF 114 II 26 consid. 5b, confirmé expressément en tenant compte de la teneur modifiée de l’art. 276 al. 2 CC in TF 5A_727/2018 du 22 août 2019 consid. 4.3.2.1), l’obligation d’entretien en nature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En effet, selon la jurisprudence, celui des parents dont la capacité financière est supérieure est tenu, suivant les circonstances, de contribuer à l'entier du besoin en argent si l'autre remplit son obligation essentiellement en nature (ATF 120 II 285 consid. 3a/cc; TF 5A_819/2016 du 21 février 2017 consid. 9.3.2.1; TF 5A_134/2016 du 18 juillet 2016 consid. 3); il en résulte que le parent qui ne prend pas en charge l'enfant ou qui ne s'en occupe que très partiellement doit en principe subvenir à son entretien financier, lorsque les revenus de l'intéressé excèdent ses propres besoins (TF 5A_645/2022 du 5 juillet 2023 consid. 6.1.2 ; TF 5A_450/2020 du 4 janvier 2021 consid. 5.3).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8.1, JdT 2022 II 347 ; TF 5A_727/2018 du 22 août 2019 consid. 4.3.2.1, FamPra.ch 2019 p. 1215 ; TF 5A_119/2017 du 30 août 2017 consid. 7.1).  Cela se justifie en particulier lorsque, sinon, la charge d'entretien serait particulièrement lourde pour le débirentier vivant dans des conditions économiques modestes (TF 5A_848/2019 du 2 décembre 2020 consid. 7.1 ; TF 5A_244/2018 du 26 août 2019 consid. 3.6.2).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 d'un autre côté, une participation du parent qui assume l'entretien en nature entrera en considération, lorsque sa capacité contributive est supérieure à celle de l'autre parent (TF 5A_926/2019 du 30 juin 2020 consid. 6.3, FamPra.ch 2020 p. 1054 ; TF 5A_1032/2019 du 9 juin 2020 consid. 5.4.1, FamPra.ch 2020 p. 1068 ; TF 5A_727/2018 du 22 août 2019 consid. 4.3.2.2, FamPra.ch 2019 p. 1215). En d’autres termes, ce n’est que si les moyens à disposition du parent non gardien ne sont pas suffisants pour couvrir l’entier des besoins des enfants ou lorsque la prise en charge des coûts directs par le seul parent non gardien entraînerait un déséquilibre des situations économiques des parents que les revenus du parent gardien doivent être mis à contribution (Juge délégué CACI 21 juillet 2020/313 ; CACI 8 janvier 2021/10). 4.2.2.3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répartition de l’excédent par « grandes et petites têtes » (à savoir deux parts pour un adulte, une part pour un enfant) s’impose comme nouvelle règle, à laquelle il est toutefois possible de déroger à certaines conditions (sur le tout, ATF 147 III 265, déjà cité, consid. 7.2 à 7.4 et les réf. citées). 4.2.3 De manière générale, l'action tendant au paiement d'une somme d'argent doit être chiffrée (art. 84 al. 2 CPC), sous réserve de l'application de l'art. 85 al. 1 CPC (TF 5A_871/2020 du 15 février 2021 consid. 3.3.1 ; TF 5A_368/2018 du 25 avril 2019 consid. 4.3.3, RSPC 2019 p. 332). Le chiffrage doit impérativement intervenir dans la demande (ATF 148 III 322 consid. 3.2). Les demandes en entretien étant en principe de nature condamnatoire, elles doivent être chiffrées lorsqu'elles tendent au paiement d'une somme d'argent (TF 5A_779/2021 du 16 décembre 2022 consid. 3.3.2). Vu la nature réformatoire de l'appel, l'appelant doit en principe prendre des conclusions sur le fond. Est irrecevable l'appel qui conclut à l'octroi d'une pension "fixée à dire de justice" (Juge unique CACI 14 août 2012/363, confirmé par TF 5A_713/ 2012 du 15 février 2013 consid. 4.2). Exceptionnellement, il doit toutefois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5A_65/2022 du 16 janvier 2023 consid. 3.3.1 ; TF 5A_453/2022 du 13 décembre 2022 consid. 3.1). En procédure d’appel, l’objet du litige se détermine selon les conclu­sions. Les parties peuvent ainsi limiter l’objet du litige, le jugement entrant en force dans la mesure où il n’est pas contesté. Le principe selon lequel les parties peuvent décider si et dans quelle mesure elles veulent utiliser une voie de droit est également applicable dans les litiges régis par la maxime d’office. Même si le tribunal d’appel statue sur les contributions d’entretien envers les enfants sans être lié par leurs conclusions, cela ne l’autorise pas à aller au-delà de l’objet du litige tel que fixé devant lui par les parties. L’exception de l’art. 282 al. 2 CPC, qui permet au juge, lorsqu’une contribution d’entretien envers l’épouse est contestée, de revoir la contribution d’entretien des enfants même lorsqu’elle n’a pas été attaquée, ne saurait être étendue (TF 5A_532/2020 du 22 juillet 2020 consid. 2 ; TF 5A_90/2017 du 24 août 2017 consid. 11.2). Une partie qui a pris des conclusions insuffisantes en première instance ne peut corriger cette erreur procédurale en appel (TF 5A_793/2014 du 18 mai 2015 consid. 3.2.6, non publié à l'ATF 141 III 302). 4.3 4.3.1 En l’espèce, la question de la recevabilité des conclusions de l’appel n’est pas évidente, dans la mesure où l’appelante n’a, d’une part, pas chiffré ses conclusions et, d’autre part, n’a pas pris formellement de conclusions subsidiaires dans l’hypothèse – qui s’est réalisée – où la juge de céans n’admettrait pas son appel sous l’angle de la garde. On déduit toutefois de la motivation de l’appel que l’appelante entendait conclure, dans le cas où elle n’obtiendrait pas la garde, à ce qu’elle ne doive pas verser de contributions d’entretien en faveur de ses enfants, à ce que l’intimé soit astreint à lui verser la moitié de l’excédent dévolus aux enfants, soit 1’035 fr. au total (345 fr. par enfant, soit 1/14 de 4'833 fr. 35), ainsi que 2/7 de l’excédent de l’intimé, soit 1’381 fr., à titre de contribution d’entretien pour elle-même. 4.3.2 La situation financière des parties, telle qu’elle ressort de l’ordonnance et qui n’est pas contestée, laisse apparaître un solde mensuel de 6'098 fr. 45 pour l’intimé et de 619 fr. 35 pour l’appelante. Dans ces circonstances, le fait d’astreindre cette dernière à verser le montant de 620 fr. à titre de contributions d’entretien et de faire supporter à l’appelant le solde par 1'264 fr. 45 (767 fr. 35 + 658 fr. 55 + 458 fr. 55 – 620 fr.) apparaît trop déséquilibré pour être considéré comme équitable, cela même si l’intimé apporte la contribution en nature aux enfants (cf. consid. 4.2.2.2 ci-avant). En effet, alors que l’intimé dispose encore d’un solde de 4'834 fr. après avoir pris en charge sa part de coûts directs des enfants (6'098 fr. 45 – 1'264 fr. 45), l’appelante n’a même pas les moyens de payer ses impôts, qui n’ont pas été pris en compte dans les charges des parties. Or, en faisant supporter les coûts directs des enfants entièrement à leur père, celui-ci disposerait toujours d’un solde important de 4'214 fr., l’appelante se limitant pour sa part au faible disponible de 619 fr. 35. Cette dernière solution apparaît largement la plus équitable. Par surabondance de motif, on relèvera encore – même si cela n’est pas soulevé en appel – que la situation des parties, qui doit être prise dans sa globalité, permet manifestement d’élargir le minimum vital LP au droit de la famille (cf. consid. 4.2.2.1). Si la première juge avait ajouté cette étape en ajoutant en premier lieu les impôts, puis d’autres charges, l’appelante serait très vite parvenue à une situation personnelle déficitaire, au contraire de l’intimé. Pour ce motif, elle n’aurait ainsi de toute manière pas pu être astreinte à verser une quelconque contribution d’entretien en faveur de ses enfants. 4.3.3 En ce qui concerne ensuite l’excédent que revendique l’appelante pour l’exercice de son droit de visite, il n’est pas justifié. Dans la méthode de calcul préconisée par le Tribunal fédéral, le montant de l’excédent est ajouté aux coûts directs des enfants et est exclusivement dû à celui des époux qui perçoit les contributions d’entretien dues en faveur de ces enfants, soit à celui qui a la garde de ces derniers (consid. 4.2.2.3). Or, la garde des enfants a été attribuée à l’intimé. Le grief de l’appelante est ainsi sans fondement. On relèvera encore, sur ce point, qu’il peut en revanche être tenu compte, dans les charges du parent qui n’a pas la garde de ses enfants, d’un montant mensuel pour l’exercice du droit de visite, ce que fait d’ailleurs l’ordonnance attaquée à hauteur de 150 francs. 4.3.4 Enfin, la conclusion de l’appelante en paiement d’une contribution d’entretien en sa faveur est irrecevable, l’intéressée n’ayant pas pris une telle conclusion devant la première juge. A noter, à cet égard, que les conditions pour une modification de la demande en appel, rendue possible par l’art. 317 al. 2 CPC, ne sont manifestement pas remplies en l’espèce (absence de faits ou de moyens de preuve nouveaux). 5. 5.1 En conclusion, l'appel doit être partiellement admis et les chiffres VI à VIII réformés en ce sens que l’appelante est libérée du versement de contributions d’entretien en faveur des enfants (V) et que les chiffres VI, VII et VIII sont supprimés. 5.2 Vu l’issue de l’appel, les frais judiciaires de deuxième instance, arrêtés à 800 fr., soit 600 fr. à titre d’émolument de l’appel (art. 65 al. 2 TFJC [tarif des frais judiciaires civils du 28 septembre 2010, BLV 270.11.5]) et 200 fr. à titre d’émolument pour la décision d’effet suspensif (art. 60 al. 2 TFJC), seront répartis par moitié entre les parties (art. 106 al. 2), soit par 400 fr. à la charge de l’appelante et par 400 fr. à la charge de l’intimé. Les parties bénéficiant de l’assistance judiciaire, ces frais seront toutefois laissés provisoirement à la charge de l’Etat. Les dépens de deuxième instance seront compensés (art. 106 al. 2 et 122 al. 1 let. d CPC). 5.3 En sa qualité de conseil d’office de l’appelante, Me Laurent Fischer a droit à une rémunération équitable pour ses opérations et débours dans la procédure d’appel (art. 122 al. 1 let. a CPC). Le 17 décembre 2024, l’avocat a produit une liste des opérations effectuées en appel dans laquelle il indique avoir consacré 12 heures et 6 minutes au total. Compte tenu de la nature et de la complexité de la cause, le temps indiqué peut être admis. L’indemnité d’office de Me Fischer sera fixée à 2'178 fr. (12,1 x 180 fr. ; cf. art. 2 al. 1 let. a et b RAJ [règlement sur l’assistance judiciaire en matière civile du 7 décembre 2010 ; BLV 211.02.3]), montant auquel s’ajoutent les débours forfaitaires de 2% par 43 fr. 55 et la TVA sur le tout à 8,1% par 179 fr. 95, soit à 2'401 fr. 50 au total. 5.4 En sa qualité de conseil d’office de l’intimé, Me Philippe Baudraz a également droit à une rémunération équitable pour ses opérations et débours dans la procédure d’appel (art. 122 al. 1 let. a CPC). Le 18 décembre 2024, l’avocat a produit une liste des opérations effectuées en appel dans laquelle il indique avoir consacré 17,85 heures au dossier. Compte tenu de la nature et de la complexité de la cause, le temps indiqué peut être admis. L’indemnité d’office de Me Baudraz sera fixée en tenant compte du tarif horaire d’un avocat breveté, soit une indemnité de conseil d’office de 3’213 fr. (17,85 x 180 fr.), à laquelle s’ajoutent les débours forfaitaires de 2% par 64 fr. 25 et la TVA sur le tout à 8,1% par 265 fr. 45, soit à 3'542 fr. 70 au total. 5.5 Les parties bénéficiaires de l’assistance judiciaire seront tenues au remboursement des frais et de l’indemnité de leur conseil d’office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est réformée aux chiffres V à VIII de son dispositif comme il suit : V. dit que D.F.________ est libérée du versement de contributions d’entretien en faveur de ses enfants B.________, E.________ et I.________ ; VI.              supprimé. VII.              supprimé. VIII.              supprimé. L’ordonnance est confirmée pour le surplus. III. Les frais judiciaires de deuxième instance, arrêtés à 800 fr. (huit cents francs), sont mis à la charge de l’appelante D.F.________ par 400 fr. (quatre cents francs) et à la charge de l’intimé Q.F.________ par 400 fr. (quatre cents francs), mais laissés provisoirement à la charge de l’Etat. IV. Les dépens de deuxième instance sont compensés. V. L’indemnité de Me Laurent Fischer, conseil d’office de l’appelante D.F.________, est arrêtée à 2'401 fr. 50 (deux mille quatre cent un francs et cinquante centimes), débours et TVA compris. VI. L’indemnité de Me Philippe Baudraz, conseil d’office de l’intimé Q.F.________, est arrêtée à 3'542 fr. 70 (trois mille cinq cent quarante-deux francs et septante centimes), débours et TVA compris. VII. Les bénéficiaires de l’assistance judiciaire rembourseront les frais judiciaires mis à leur charge et l’indemnité de leur conseil d’office, provisoirement supportés par l’Etat, dès qu’ils seront en mesure de le faire. VIII. L’arrêt est exécutoire. La juge unique :               La greffière : Du Le présent arrêt, dont la rédaction a été approuvée à huis clos, est notifié en expédition complète à : ‑ Me Laurent Fischer (pour D.F.________) ‑ Me Philippe Baudraz (pour Q.F.________)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