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292 vom 16. Mai 2025</w:t>
      </w:r>
    </w:p>
    <w:p>
      <w:r>
        <w:t>VD Tribunal cantonal, 2025-05-16, FR</w:t>
      </w:r>
    </w:p>
    <w:p>
      <w:r>
        <w:rPr>
          <w:b/>
        </w:rPr>
        <w:t xml:space="preserve">Quelle: </w:t>
      </w:r>
      <w:r>
        <w:t>https://mcp.opencaselaw.ch/entscheid/vd_findinfo_HC___2025___292</w:t>
      </w:r>
    </w:p>
    <w:p>
      <w:r>
        <w:t>FR: VD_FINDINFO HC / 2025 / 292 du 16 mai 2025</w:t>
      </w:r>
    </w:p>
    <w:p>
      <w:r>
        <w:t>IT: VD_FINDINFO HC / 2025 / 292 del 16 maggio 2025</w:t>
      </w:r>
    </w:p>
    <w:p>
      <w:pPr>
        <w:pStyle w:val="Heading2"/>
      </w:pPr>
      <w:r>
        <w:t>Regeste</w:t>
      </w:r>
    </w:p>
    <w:p>
      <w:r>
        <w:t>MOTIVATION DE LA DEMANDE, DÉFAUT{CONTUMACE}, CONDITION DE RECEVABILITÉ | 311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interjeté en temps utile, par une partie qui dispose d’un intérêt digne de protection, contre une décision finale, dont les conclusions patrimoniales sont supérieures à 10'000 francs. Toutefois, la requête d’appel ne satisfait pas aux exigences de motivation (art. 311 al. 1 CPC), comme examiné ci-après (cf. consid. 2 infra ).</w:t>
      </w:r>
    </w:p>
    <w:p>
      <w:r>
        <w:rPr>
          <w:b/>
        </w:rPr>
        <w:t>E. 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des critiques toutes générales et superficielles étant insuffisantes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en va de même si la motivation de l'appel est identique aux moyens qui avaient déjà été présentés en première instance, avant la reddition de la décision attaquée (TF 4A_621/2021 du 30 août 2022 consid. 3. 1 ; TF 4A_97/2014 du 26 juin 2014 consid. 3.3).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4A_318/2023 du 14 juillet 2023 consid. 2.3 ; TF 5A_787/2021 du 16 décembre 2022 consid. 4.3.1 et les réf. citées).</w:t>
      </w:r>
    </w:p>
    <w:p>
      <w:r>
        <w:rPr>
          <w:b/>
        </w:rPr>
        <w:t>E. 2.2</w:t>
      </w:r>
    </w:p>
    <w:p>
      <w:r>
        <w:t>En l'occurrence, dans un premier chapitre intitulé « EN FAIT », l’appelante a indiqué qu'elle contestait l'état de fait retenu dans le jugement de première instance dans la mesure où il ne correspond pas exactement aux allégués de fait qu'elle articule ensuite. Une telle manière de procéder ne satisfait manifestement pas à l'obligation de motiver, d'autant que les allégués de fait que l’appelante fait figurer dans son mémoire d'appel sont identiques à ceux qui étaient contenus dans la demande qu'elle avait déposée devant le tribunal de première instance. Il s'ensuit que l’appelante ne développe aucune critique recevable quant à la manière dont les premiers juges ont établi les faits de la cause. C’est donc à partir de l'état de fait consigné dans le jugement attaqué que les moyens de droit de l’appelante, à supposer qu'ils soient suffisamment motivés – ce qui n’est pas le cas – doivent être examinés.</w:t>
      </w:r>
    </w:p>
    <w:p>
      <w:r>
        <w:rPr>
          <w:b/>
        </w:rPr>
        <w:t>E. 2.3</w:t>
      </w:r>
    </w:p>
    <w:p>
      <w:r>
        <w:t>La motivation « EN DROIT » de l'appel, qui tient sur un peu plus d'une page, est singulièrement étique. Sous couvert d'une violation de l'art. 30 al. 1 Cst. (Constitution fédérale du 18 avril 1999 ; RS 101), l’appelante dénonce, tout d’abord, la prétendue partialité du premier juge – sans indiquer lequel des trois juges elle désigne – qui aurait frappé du poing sur la table, mais sans toutefois requérir la récusation de l'un ou de tous les membres du tribunal. Dès lors qu'il ne se rapporte à aucun chef de conclusions de l'appel, le grief est dépourvu de pertinence et, partant, irrecevable. Ensuite, sous couleur de violation des art. 336 et 336a CO (loi fédérale complétant le Code civil suisse, Code des obligations ; RS 220), l’appelante soutient que, lors de l'entretien du 10 août 2022, l'intimée a failli à son devoir de protéger sa santé psychique et que le licenciement est abusif parce que signifié en raison d'une incapacité de travail que l'intimée aurait causée par sa propre faute. Dans la mesure où elle se limite à invoquer des certificats médicaux, en particulier celui établi par le Dr [...], l’appelante ne s'en prend pas au raisonnement qui a conduit les premiers juges à nier l'existence d'un lien de cause à effet entre l'entretien du 10 août 2022 et l'incapacité de travail dont elle a souffert dans la foulée (cf. p. 37 du jugement attaqué) et, partant, elle ne formule aucun grief recevable. A supposer même qu'il faille entrer en matière sur ce moyen de droit, force est d’admettre que le jugement querellé résiste à la critique. En effet, selon la jurisprudence, après l'échéance du délai de protection de l'art. 336e al. 1 let. b CO, l'employeur peut en principe résilier librement le contrat du travailleur empêché de fournir ses prestations pour cause de maladie (ATF 150 III 78 consid. 3.1.2) ; ce n'est que dans des situations très graves que la résiliation pour cause de maladie persistante doit être qualifiée d'abusive au sens de l'art. 336 al. 1 let. a CO, comme cela peut être le cas lorsqu'il résulte de manière univoque de l'administration des preuves que l'employeur a directement causé la maladie du travailleur, par exemple lorsqu'il a omis de prendre les mesures de protection du travailleur telles celles prévues à l'art. 328 al. 2 CO et que le travailleur est devenu malade pour cette raison ( ibidem consid. 3.1.3). Or, comme cela ressort des faits arrêtés par les premiers juges, et que l’appelante ne remet pas en cause de manière recevable, les seuls reproches qu'on pourrait adresser aux représentants de l’intimée résident dans le fait de ne pas avoir indiqué clairement l'objet de l'entretien du 10 août 2022 et dans celui, imputable à M.________, d'avoir tapé du poing sur la table pour manifester son impatience quand l’appelante refusait, sans qu'il pût en déceler la raison, de signer un document pourtant objectivement anodin. Un tel comportement, même s'il est critiquable, comme l'ont bien relevé les premiers juges, n'atteint pas un degré de gravité tel qu'on puisse considérer qu'il a porté atteinte aux droits de la personnalité de l’appelante. On ne voit pas non plus qu'il soit propre, d'après le cours ordinaire des choses et l'expérience générale de la vie, à entraîner un résultat du genre de celui qui s'est produit, à savoir une incapacité de travail perdurant sur une longue période. Ainsi, à supposer même que, contrairement à ce qu'ont considéré les premiers juges, l'entretien du 10 août 2022 soit la cause de l'incapacité de travail de l’appelante, le caractère adéquat du rapport de causalité devrait être nié, l'intimée conservant la faculté de résilier le contrat de travail en raison de l’incapacité durable de l’appelante de travailler à son service. Enfin, l’appelante soutient que le licenciement litigieux serait abusif parce que signifié à titre de représailles, mais sans exposer davantage son raisonnement ni les motifs de celles-ci. A cet égard, on ne trouve nulle part dans le jugement attaqué – ni d'ailleurs dans les allégués de la demande ou dans ceux, identiques, du mémoire d'appel – la mention d'une prétention que l’appelante aurait fait valoir et qui aurait pu déterminer l'intimée à la congédier. Du reste, l’appelante ne discute pas de manière recevable la constatation factuelle des premiers juges selon laquelle le motif du licenciement réside dans l’incapacité totale et durable de l’intéressée à travailler au service de l'intimée. Ici encore, le grief est irrecevable.</w:t>
      </w:r>
    </w:p>
    <w:p>
      <w:r>
        <w:rPr>
          <w:b/>
        </w:rPr>
        <w:t>E. 3</w:t>
      </w:r>
    </w:p>
    <w:p>
      <w:r>
        <w:t>Vu ce qui précède, l'appel est irrecevable. Il n’est pas perçu de frais judiciaires de deuxième instance, le litige portant sur un contrat de travail avec une valeur litigieuse n’excédant pas 30'000 fr. (art. 114 let. c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