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291 vom 21. März 2025</w:t>
      </w:r>
    </w:p>
    <w:p>
      <w:r>
        <w:t>VD Tribunal cantonal, 2025-03-21, FR</w:t>
      </w:r>
    </w:p>
    <w:p>
      <w:r>
        <w:rPr>
          <w:b/>
        </w:rPr>
        <w:t xml:space="preserve">Quelle: </w:t>
      </w:r>
      <w:r>
        <w:t>https://mcp.opencaselaw.ch/entscheid/vd_findinfo_HC___2025___291</w:t>
      </w:r>
    </w:p>
    <w:p>
      <w:r>
        <w:t>FR: VD_FINDINFO HC / 2025 / 291 du 21 mars 2025</w:t>
      </w:r>
    </w:p>
    <w:p>
      <w:r>
        <w:t>IT: VD_FINDINFO HC / 2025 / 291 del 21 marzo 2025</w:t>
      </w:r>
    </w:p>
    <w:p>
      <w:pPr>
        <w:pStyle w:val="Heading2"/>
      </w:pPr>
      <w:r>
        <w:t>Erwägungen</w:t>
      </w:r>
    </w:p>
    <w:p>
      <w:r>
        <w:rPr>
          <w:b/>
        </w:rPr>
        <w:t>E. 1.1</w:t>
      </w:r>
    </w:p>
    <w:p>
      <w:r>
        <w:t>L’art. 110 CPC (Code de procédure civile suisse du 19 décembre 2008 ; RS 272) ouvre la voie du recours séparé de l’art. 319 let. b ch. 1 CPC contre les décisions sur les frais, soit les frais judiciaires et les dépens (art. 95 al. 1 CPC ; Tappy, Commentaire romand, Code de procédure civile, 2 e éd. [ci-après : CR CPC], Bâle 2019, n. 3 ad art. 110 CPC). Le recours doit être introduit auprès de l'instance de recours, soit en l'occurrence la Chambre des recours civile (art. 73 al. 1 LOJV [loi d'organisation judiciaire du 12 décembre 1979 ; BLV 173.01]). Depuis le 1 er janvier 2025, le délai de recours est de dix jours pour les décisions prises en procédure sommaire, ainsi que les autres décisions et ordonnances d’instruction de première instance, à moins que la loi n’en dispose autrement (art. 321 al. 2 CPC).</w:t>
      </w:r>
    </w:p>
    <w:p>
      <w:r>
        <w:rPr>
          <w:b/>
        </w:rPr>
        <w:t>E. 1.2</w:t>
      </w:r>
    </w:p>
    <w:p>
      <w:r>
        <w:t>Les recourants ont soulevé des nova pour démontrer que le recours a été déposé en temps utile. Ils allèguent que la décision aurait été notifiée à l’ancienne adresse de leurs conseils et qu’ils n’en auraient eu connaissance que par après. Force est cependant de constater que le recours a été déposé dans le délai de 10 jours dès la notification de la décision, nonobstant l’éventuelle erreur d’adresse. Il n’y a donc pas lieu d’examiner les nova soulevés, le recours ayant été déposé en temps utile. Au surplus, il émane de parties ayant un intérêt digne de protection (art. 59 al. 2 let. a CPC) contre une décision sur les frais, le recours est recevable, sous réserve de ce qui suit (cf. infra consid. 5.3).</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(Jeandin, CR‑CPC, nn. 2 ss ad art. 320 CPC ; Spühler, Basler Kommentar, Schweizerische Zivilprozessordnung [ZPO], 3 e éd.,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 nn. 4-5 ad art. 321 CPC et les références citées).</w:t>
      </w:r>
    </w:p>
    <w:p>
      <w:r>
        <w:rPr>
          <w:b/>
        </w:rPr>
        <w:t>E. 2.2</w:t>
      </w:r>
    </w:p>
    <w:p>
      <w:r>
        <w:t>Les conclusions, les allégations de faits et les preuves nouvelles sont irrecevables en procédure de recours (art. 326 al. 1 CPC).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(art. 99 LTF [loi sur le Tribunal fédéral du 17 juin 2005 ; RS 173.110] ; ATF 139 III 466 consid. 3.4, JdT 2015 II 439). Les faits visés par l’exception énoncée à l’art. 99 al. 1 LTF peuvent être des faits et moyens de preuve qui se rapportent à la régularité de la procédure devant l'instance précédente ou qui sont déterminants pour la recevabilité du recours au Tribunal fédéral (par exemple, la date de notification de la décision attaquée) (TF 5A_904/2015 du 29 septembre 2016 consid. 2.3 non publié in ATF 142 III 617). Le recourant qui entend se prévaloir de cette exception doit démontrer en quoi les conditions en sont remplies (TF 4A_49/2022 du 14 septembre 2022 consid. 2.2 et les références citées).</w:t>
      </w:r>
    </w:p>
    <w:p>
      <w:r>
        <w:rPr>
          <w:b/>
        </w:rPr>
        <w:t>E. 3.1</w:t>
      </w:r>
    </w:p>
    <w:p>
      <w:r>
        <w:t>et les références citées).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137 I 195 consid. 2.3.2 ; TF 7B_60/2024 du 29 juillet 2024 consid. 3.2.2).</w:t>
      </w:r>
    </w:p>
    <w:p>
      <w:r>
        <w:rPr>
          <w:b/>
        </w:rPr>
        <w:t>E. 3.2</w:t>
      </w:r>
    </w:p>
    <w:p>
      <w:r>
        <w:t>La substitution de partie est prévue par l’art. 83 CPC. A teneur de l’art. 83 al. 4 in fine CPC, « les dispositions spéciales prévoyant la succession d’un tiers aux droits et obligations des parties sont réservées ». Cette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(TF 4A_667/2016 du 8 février 2017 consid. 4).</w:t>
      </w:r>
    </w:p>
    <w:p>
      <w:r>
        <w:rPr>
          <w:b/>
        </w:rPr>
        <w:t>E. 3.3</w:t>
      </w:r>
    </w:p>
    <w:p>
      <w:r>
        <w:t>Le décès de feu A.H.T________ est intervenu de manière antérieure à la reddition de la décision querellée. La seule mention de son décès, sans indication de l’identité de ses héritiers, figure dans le courrier valant désistement d’instance et d’action adressé au premier juge le 27 janvier 2025. En revanche, il ne ressort pas du dossier que l’attestation de dévolution, également antérieure à la décision, lui aurait été transmise. La substitution de partie invoquée constitue ainsi un pseudo- nova , dans la mesure où elle existait déjà avant la reddition de la décision. Il est toutefois recevable eu égard au fait qu’il a trait à la recevabilité du recours. En tout état de cause, en cas de succession universelle, telle une succession pour cause de mort (art. 560 CC [Code civil suisse du 10 décembre 1907 ; RS 210]), la substitution se produit de jure en vertu de la loi. Vu de la délivrance de l’attestation dévolutive confirmant que S.________, V.________, E.T.________ et F.T.________ sont les héritiers de feu A.H.T________, ceux‑ci se sont substitués ex lege au de cujus dans le cadre de la présente procédure de recours (art. 560 CC et 83 al. 4 CPC).</w:t>
      </w:r>
    </w:p>
    <w:p>
      <w:r>
        <w:rPr>
          <w:b/>
        </w:rPr>
        <w:t>E. 3.3.1</w:t>
      </w:r>
    </w:p>
    <w:p>
      <w:r>
        <w:t>;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w:t>
      </w:r>
    </w:p>
    <w:p>
      <w:r>
        <w:rPr>
          <w:b/>
        </w:rPr>
        <w:t>E. 4.1</w:t>
      </w:r>
    </w:p>
    <w:p>
      <w:r>
        <w:t>Dans un grief d’ordre formel, les recourants se plaignent implicitement d’une violation de leur droit d’être entendus, sous l’aspect du droit à une décision motivée. Ils reprochent en effet au premier juge l’absence de motivation de la décision arrêtant les frais judiciaires.</w:t>
      </w:r>
    </w:p>
    <w:p>
      <w:r>
        <w:rPr>
          <w:b/>
        </w:rPr>
        <w:t>E. 4.2</w:t>
      </w:r>
    </w:p>
    <w:p>
      <w:r>
        <w:t>Le droit d’être entendu est une garantie constitutionnelle (art. 29 al. 2 Cst.)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141 V 495 consid. 2.2 et les références citées ; TF 8C_119/2020 du 26 novembre 2020 consid. 4.2) et avec un plein pouvoir d’examen (ATF 135 I 279 consid. 2.2, JdT 2010 I 255 ; TF 8C_119/2020 précité consid. 4.2). En procédure civile, le droit d’être entendu est concrétisé à l’art. 53 CPC (TF 5A_647/2022 du 27 mars 2023 consid.</w:t>
      </w:r>
    </w:p>
    <w:p>
      <w:r>
        <w:rPr>
          <w:b/>
        </w:rPr>
        <w:t>E. 4.4</w:t>
      </w:r>
    </w:p>
    <w:p>
      <w:r>
        <w:t>Les frais judiciaires ont été arrêtés à 16'526 fr. par le premier juge. Il convient de donner acte aux recourants qu’aucune motivation ne ressort de cette décision. Toutefois, l’absence de motivation de la décision ne rend pas en l’espèce la violation du droit d’être entendu des recourants particulièrement grave dès lors que ceux-ci ont parfaitement été à même de procéder au calcul – somme toute simple – opéré par le premier juge pour parvenir au montant contesté. En effet, fondés sur la valeur litigieuse qu’ils ont chiffrée à 3'873'768 fr. 80, les recourants ont d’abord déterminé que l’émolument forfaitaire de décision, en application de l’art. 18 al. 1 TFJC (tarif des frais judiciaires civils du 28 septembre 2010 ; BLV 270.11.5), s’élevait à 66'106 fr. 50. Ils l’ont ensuite réduit de trois-quarts conformément à l’art. 22 al. 1 TJFC, soit un montant final de 16'526 fr. tel qu’arrêté dans la décision querellée. Le grief de violation du droit d’être entendu doit donc être rejeté.</w:t>
      </w:r>
    </w:p>
    <w:p>
      <w:r>
        <w:rPr>
          <w:b/>
        </w:rPr>
        <w:t>E. 5.1</w:t>
      </w:r>
    </w:p>
    <w:p>
      <w:r>
        <w:t>Les recourants invoquent encore que le premier juge aurait dû faire application de l’art. 22 al. 8 TFJC et tenir compte de la complexité de la cause et des travaux accomplis par la Chambre patrimoniale et le greffe pour réduire l’émolument relatif aux frais judiciaires tenir compte de l’absence de travail.</w:t>
      </w:r>
    </w:p>
    <w:p>
      <w:r>
        <w:rPr>
          <w:b/>
        </w:rPr>
        <w:t>E. 5.2</w:t>
      </w:r>
    </w:p>
    <w:p>
      <w:r>
        <w:t>Aux termes de l'art. 321 al. 1 in initio CPC, le recours doit être écrit et motivé.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Le recours doit également contenir, sous peine d'irrecevabilité, des conclusions en annulation ou au fond (Jeandin, op. cit ., n. 5 ad art. 321 CPC), soit l'exposé de ce que la partie veut que le tribunal lui alloue dans sa décision (CREC 16 juin 2021/172) ; en particulier, le recours doit contenir des conclusions chiffrées s'agissant de conclusions pécuniaires (TF 5A_65/2022 du 16 janvier 2023 consid. 3.3.1). L'exigence de conclusions chiffrées sous peine d'irrecevabilité du recours contre un prononcé sur frais ne constitue pas un formalisme excessif (TF 5A_164/2019 du 20 mai 2020, non publié in ATF 146 III 203).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L'absence de conclusions chiffrées est, en effet, un vice qui ne peut en principe pas être réparé selon l'art. 132 CPC (ATF 137 III 617 consid. 4).</w:t>
      </w:r>
    </w:p>
    <w:p>
      <w:r>
        <w:rPr>
          <w:b/>
        </w:rPr>
        <w:t>E. 5.3</w:t>
      </w:r>
    </w:p>
    <w:p>
      <w:r>
        <w:t>L’argument tiré de la violation de l’art. 22 al. 8 TFJC n’aurait de sens que si les conclusions des recourants étaient chiffrées. Or, les conseils des recourants sollicitent l’annulation de la décision querellée et le renvoi de la cause au premier juge pour nouvelle décision dans le sens des considérants. Quant à leurs conclusions subsidiaires, elles se limitent à requérir la révision des frais judiciaires « à un montant qui respecte les principes de couverture de frais et d’équivalence en tenant compte, […] notamment [de] l’absence de difficulté et [de] l’activité très limitée de la Chambre patrimoniale cantonale ». Leurs conclusions sont dès lors insuffisamment formulées, dans la mesure où elles n’indiquent aucun montant au titre de frais judiciaires, à titre subsidiaire à tout le moins. Les recourants semblent certes soutenir que les frais judiciaires seraient trop élevés compte tenu du fait que la cause s’est achevée avant la fin du premier échange d’écriture. Ils n’exposent cependant ni dans leur motivation, ni dans leurs conclusions, quel montant le premier juge aurait dû arrêter au titre des frais judiciaires. Partant, le recours est insuffisamment motivé sur ce point et comporte des conclusions déficientes constituant un vice irrémédiable pour lequel il n’y a pas lieu d’accorder aux recourants un délai supplémentaire pour compléter leurs conclusions. Sur ce point, le recours doit donc être déclaré irrecevable.</w:t>
      </w:r>
    </w:p>
    <w:p>
      <w:r>
        <w:rPr>
          <w:b/>
        </w:rPr>
        <w:t>E. 6.1</w:t>
      </w:r>
    </w:p>
    <w:p>
      <w:r>
        <w:t>Au vu de ce qui précède, le recours doit être rejeté dans la mesure de sa recevabilité (art. 322 al. 1 in fine CPC), et la décision querellée confirmée.</w:t>
      </w:r>
    </w:p>
    <w:p>
      <w:r>
        <w:rPr>
          <w:b/>
        </w:rPr>
        <w:t>E. 6.2</w:t>
      </w:r>
    </w:p>
    <w:p>
      <w:r>
        <w:t>Les frais judiciaires, arrêtés à 450 fr. (art. 69 al. 1 TFJC) seront mis à la charge des recourants, qui succombent entièrement (art. 106 al. 1 CPC). Conformément à l’art. 106 al. 3 CPC, les frais judiciaires seront mis, par moitié, à la charge de G.________, A.T.________, B.T.________ et C.T.________ à raison de 56 fr. 25 pour chacun, et par moitié à la charge de S.________, V.________, E.T.________ et F.T.________, soit 225 fr., solidairement entre eux (art. 70 al. 2 CPC ; ATF 138 III 737 consid. 2 ; TF 5A_787/2020 du 7 juin 2021 consid. 5.2).</w:t>
      </w:r>
    </w:p>
    <w:p>
      <w:r>
        <w:rPr>
          <w:b/>
        </w:rPr>
        <w:t>E. 6.3</w:t>
      </w:r>
    </w:p>
    <w:p>
      <w:r>
        <w:t>Il n’y a pas lieu à l’allocation de dépens, l’intimée n’ayant pas été invitée à déposer une réponse (art. 322 al. 1 in fine CPC). Par ces motifs, la Chambre des recours civile du Tribunal cantonal, prononce : I. Le recours est rejeté dans la mesure où il est recevable. II. La décision est confirmée. III. Les frais judiciaires de deuxième instance, arrêtés à 450 fr., sont mis, par moitié, à la charge des recourants G.________, A.T.________, B.T.________ et C.T.________ à raison de 56 fr. 25 (cinquante-six francs et vingt-cinq centimes) chacun, et par moitié, soit 225 fr. (deux cent vingt-cinq francs), à la charge de S.________, V.________, E.T.________ et F.T.________, solidairement entre eux. IV. L’arrêt est exécutoire. Le président :               La greffière : Du L'arrêt qui précède, dont la rédaction a été approuvée à huis clos, est notifié à : ‑ Me Marc Iynedjian (pour G.________, A.T.________, B.T.________, C.T.________ et les membres de l’hoirie de feu A.H.T________), ‑ Me Micaela Vaerini (pour D.T.________), et communiqué, par l'envoi de photocopies, à : ‑ M. le Juge délégué de la Chambre patrimoniale cantonale.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