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289 vom 23. April 2025</w:t>
      </w:r>
    </w:p>
    <w:p>
      <w:r>
        <w:t>VD Tribunal cantonal, 2025-04-23, FR</w:t>
      </w:r>
    </w:p>
    <w:p>
      <w:r>
        <w:rPr>
          <w:b/>
        </w:rPr>
        <w:t xml:space="preserve">Quelle: </w:t>
      </w:r>
      <w:r>
        <w:t>https://mcp.opencaselaw.ch/entscheid/vd_findinfo_HC___2025___289</w:t>
      </w:r>
    </w:p>
    <w:p>
      <w:r>
        <w:t>FR: VD_FINDINFO HC / 2025 / 289 du 23 avril 2025</w:t>
      </w:r>
    </w:p>
    <w:p>
      <w:r>
        <w:t>IT: VD_FINDINFO HC / 2025 / 289 del 23 aprile 2025</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Lorsque la décision a été rendue en procédure ordinaire ou simplifiée, le délai pour l’introduction de l’appel est de trente jours à compter de la notification de la décision motivée (art. 311 al. 1 CPC). Dans les contestations portant sur la restitution de locaux occupés par l'une des parties, la valeur litigieuse correspond à celle de l'usage de ces locaux pendant le laps à prévoir jusqu'au moment où l'évacuation forcée pourra être exécutée par la force publique ; la valeur de cet usage peut être présumée égale au loyer convenu entre les parties (TF 4A_135/2016 du 20 mai 2016 c. 5 ; TF 4A_394/2016 du 6 juillet 2016 c. 5).</w:t>
      </w:r>
    </w:p>
    <w:p>
      <w:r>
        <w:rPr>
          <w:b/>
        </w:rPr>
        <w:t>E. 1.2</w:t>
      </w:r>
    </w:p>
    <w:p>
      <w:r>
        <w:t>En l’espèce, l’appelant ne conteste à juste titre pas que les conditions de l'art. 257d CO soient réalisées et ne remet pas non plus en cause le principe de la résiliation, se bornant à conclure à ce que « un délai raisonnable » lui soit accordé afin de trouver un logement adapté à sa situation familiale. Compte tenu du loyer mensuel, la valeur litigieuse, calculée selon les principes énoncés ci-dessus, est supérieure à 10'000 fr., si bien que c'est la voie de l'appel qui est ouverte (art. 308 al. 2 CPC). Pour le surplus, formé en temps utile par une partie qui a un intérêt digne de protection,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Bâle 2019, nn. 2 ss ad art. 310 CPC ; ATF 138 III 374 consid. 4.3.1 ; TF 5A_340/2021 du 16 novembre 2021 consid. 5.3.1 ; TF 4A_215/2017 du 15 janvier 2019 consid. 3.4). Sous réserve des vices manifestes, l'application du droit d'office ne signifie toutefois pas que l'autorité d'appel doive étendre son examen à des moyens qui n'ont pas été soulevés dans l'acte d’appel. Elle peut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La motivation doit être suffisamment explicite pour que l’instance d’appel puisse la comprendre aisément, ce qui suppose une désignation précise des passages de la décision que l’appelant attaque et des pièces du dossier sur lesquelles repose sa critique (ATF 147 III 176 consid. 4.2.1 ; ATF 141 III 569 consid. 2.3.3 ; ATF 138 III 374 loc. cit. ; TF 5A_268/2022 du 18 mai 2022 consid. 4 ; TF 5A_577/2020 du 16 décembre 2020 consid. 5).</w:t>
      </w:r>
    </w:p>
    <w:p>
      <w:r>
        <w:rPr>
          <w:b/>
        </w:rPr>
        <w:t>E. 2.3.1</w:t>
      </w:r>
    </w:p>
    <w:p>
      <w:r>
        <w:t>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w:t>
      </w:r>
    </w:p>
    <w:p>
      <w:r>
        <w:rPr>
          <w:b/>
        </w:rPr>
        <w:t>E. 2.3.2</w:t>
      </w:r>
    </w:p>
    <w:p>
      <w:r>
        <w:t>En l’espèce, l’appelant produit, en sus de la décision attaquée, une requête en contestation du loyer initial déposée le 7 mars 2025 auprès de la Commission de conciliation en matière de baux à loyer du district de la Riviera – Pays-d'Enhaut, ainsi que la convocation à l'audience de conciliation adressée par cette autorité le 17 mars 2025 . Ces pièces sont antérieures au rendu de la décision attaquée et, surtout, à l'audience de débats du 20 mars 2025. L'appelant n'indique cependant pas pour quels motifs il n'aurait pu produire ces pièces en première instance, si bien qu'elles sont irrecevables au stade de l'appel.</w:t>
      </w:r>
    </w:p>
    <w:p>
      <w:r>
        <w:rPr>
          <w:b/>
        </w:rPr>
        <w:t>E. 3.1</w:t>
      </w:r>
    </w:p>
    <w:p>
      <w:r>
        <w:t>Aux termes de l'art. 257d CO (Code des obligations du 30 mars 1911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demeure du locataire, au sens de l'art. 257d CO,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 65/2016 du 2 septembre 2016 consid. 3.1 ; TF 4A 566/2011 du 6 décembre 2011 consid. 3.1).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 436/2018 du 17 janvier 2019 consid. 5.1 et les réf. citées). Si, en revanche, l'une des conditions d'application de l'art. 257d CO n'est pas réalisée, le congé est inefficace (Lachat/Stastny, Le bail à loyer, Lausanne 2019, n. 2.3.5 p. 879). Le délai comminatoire commence à courir lorsque le locataire a effectivement reçu en ses mains la mise en demeure, mais au plus tard à l'échéance du délai de garde postale de sept jours (ATF 137 III 208 consid. 3.1.3 ; ATF 119 Il 147 consid. 2, JdT 1994 1 205 ; Lachat et al., Le bail à loyer, Lausanne 2019, p. 875 et les références citées ; Wessner, Droit du bail à loyer et à ferme, commentaire pratique, 2e éd., Bâle 2017, n. 21 ad art. 257d CO et les références citées). Il incombe à la partie qui prétend que son obligation a été exécutée de prouver cette exécution, notamment par paiement (ATF 130 III 321 consid. 3.1 ; ATF 128 III 271 consid. 2a/aa, JdT 2003 1 606 ; TF 4A_41/2011 du 27 avril 2011 consid. 2.1.1 ; CACI 4 août 2022/396).</w:t>
      </w:r>
    </w:p>
    <w:p>
      <w:r>
        <w:rPr>
          <w:b/>
        </w:rPr>
        <w:t>E. 3.2</w:t>
      </w:r>
    </w:p>
    <w:p>
      <w:r>
        <w:t>Des circonstances d'ordre humanitaire n'entrent pas en ligne de compte dans l'examen des conditions de l'art. 257d CO, dès lors qu'elles ne sont pas prises en considération par les règles de droit fédéral sur le bail à loyer (TF du 27 février 1997 précité in CdB 3/97 p. 65 consid. 2b ; TF 4A_252/2014 du 28 mai 2014 consid. 4.2 ; TF 4C 74/2006 du 12 mai 2006 consid. 3.2.1 ; Lachat, op. cit., note infrapaginale 117 p. 820). Elles peuvent cependant être prises en compte au stade de l'exécution forcée, en application du principe général de la proportionnalité. Toutefois, dans tous les cas, l'ajournement de l'exécution forcée ne saurait être que relativement bref et ne doit pas équivaloir de fait à une nouvelle prolongation de bail (ATF 117 la 336 consid. 2b).</w:t>
      </w:r>
    </w:p>
    <w:p>
      <w:r>
        <w:rPr>
          <w:b/>
        </w:rPr>
        <w:t>E. 4.1</w:t>
      </w:r>
    </w:p>
    <w:p>
      <w:r>
        <w:t>Dans un premier grief, l'appelant invoque une violation du principe de la proportionnalité. Il fait valoir que la décision d'expulsion aurait des conséquences disproportionnées sur sa situation personnelle et familiale, indiquant avoir quatre enfants et aucune solution de relogement à ce jour. Par son grief, l'appelant n'attaque pas la motivation de la décision attaquée mais invoque des motifs d'ordre humanitaire qui n’entrent pas en ligne de compte dans le cadre d'une décision d’expulsion fondée sur l'art. 257d CO. Le moyen est donc irrecevable.</w:t>
      </w:r>
    </w:p>
    <w:p>
      <w:r>
        <w:rPr>
          <w:b/>
        </w:rPr>
        <w:t>E. 4.2</w:t>
      </w:r>
    </w:p>
    <w:p>
      <w:r>
        <w:t>L'appelant invoque ensuite une procédure déposée devant la commission de conciliation en matière de baux à loyer portant sur la contestation du loyer initial du logement en cause. Cela étant, il se fonde sur des pièces irrecevables (cf. consid. 2.3.2 ci-dessus), si bien que son grief ne peut qu'être rejeté. De toute manière, à supposer ces pièces recevables, le même sort aurait dû être réservé au grief de l'appelant. En effet, s'il conteste – de manière particulièrement tardive – le loyer initial, il n'expose pas avoir versé durant la période litigieuse, soit du mois d'août 2023 au mois d'avril 2024, respectivement durant le délai comminatoire, le montant du loyer qu'il estimait dû. Il ne saurait dès lors être protégé.</w:t>
      </w:r>
    </w:p>
    <w:p>
      <w:r>
        <w:rPr>
          <w:b/>
        </w:rPr>
        <w:t>E. 4.3</w:t>
      </w:r>
    </w:p>
    <w:p>
      <w:r>
        <w:t>Enfin, l'appelant indique rechercher activement une solution de relogement mais avoir besoin d'un délai supplémentaire. On relèvera tout d'abord que le délai de trente jours imparti par le premier juge est usuel et ne prête pas le flanc à la critique, un délai de libération des locaux de quinze à vingt jours étant admissible (CACI 11 septembre 2023/368 ; CACI 29 novembre 2022/586, CACI 25 janvier 2022/24). Ces circonstances pourront, le cas échéant, être examinées dans le cadre de la procédure d'exécution forcée.</w:t>
      </w:r>
    </w:p>
    <w:p>
      <w:r>
        <w:rPr>
          <w:b/>
        </w:rPr>
        <w:t>E. 5.1</w:t>
      </w:r>
    </w:p>
    <w:p>
      <w:r>
        <w:t>A u vu de ce qui précède, l’appel, manifestement mal fondé, doit être rejeté en application de l'art. 312 al. 1 in fine CPC, la décision étant confirmée.</w:t>
      </w:r>
    </w:p>
    <w:p>
      <w:r>
        <w:rPr>
          <w:b/>
        </w:rPr>
        <w:t>E. 5.2</w:t>
      </w:r>
    </w:p>
    <w:p>
      <w:r>
        <w:t>Les frais judiciaires de deuxième instance, arrêtés à 1'405 fr. (art. 62 al. 1 et 3 TFJC [tarif des frais judiciaires civils du 28 septembre 2010 ; BLV 270.11.5]), sont mis à la charge de l’appelant,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