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281 vom 30. April 2025</w:t>
      </w:r>
    </w:p>
    <w:p>
      <w:r>
        <w:t>VD Tribunal cantonal, 2025-04-30, FR</w:t>
      </w:r>
    </w:p>
    <w:p>
      <w:r>
        <w:rPr>
          <w:b/>
        </w:rPr>
        <w:t xml:space="preserve">Quelle: </w:t>
      </w:r>
      <w:r>
        <w:t>https://mcp.opencaselaw.ch/entscheid/vd_findinfo_HC___2025___281</w:t>
      </w:r>
    </w:p>
    <w:p>
      <w:r>
        <w:t>FR: VD_FINDINFO HC / 2025 / 281 du 30 avril 2025</w:t>
      </w:r>
    </w:p>
    <w:p>
      <w:r>
        <w:t>IT: VD_FINDINFO HC / 2025 / 281 del 30 aprile 2025</w:t>
      </w:r>
    </w:p>
    <w:p>
      <w:pPr>
        <w:pStyle w:val="Heading2"/>
      </w:pPr>
      <w:r>
        <w:t>Regeste</w:t>
      </w:r>
    </w:p>
    <w:p>
      <w:r>
        <w:t>RÉSILIATION, SUPPRESSION{EN GÉNÉRAL}, EMPLOI{TRAVAIL}, TRANSFERT{EN GÉNÉRAL}, COLLABORATEUR, INDEMNITÉ{EN GÉNÉRAL}, DROIT CANTONAL | 336c al. 1 let. b CO, 62 LPers-VD</w:t>
      </w:r>
    </w:p>
    <w:p>
      <w:pPr>
        <w:pStyle w:val="Heading2"/>
      </w:pPr>
      <w:r>
        <w:t>Erwägungen</w:t>
      </w:r>
    </w:p>
    <w:p>
      <w:r>
        <w:rPr>
          <w:b/>
        </w:rPr>
        <w:t>E. 1.1</w:t>
      </w:r>
    </w:p>
    <w:p>
      <w:r>
        <w:t>L'art. 308 al. 1 let. b CPC, applicable à titre de droit supplétif en vertu des renvois des art. 16 al. 1 LPers-VD et 103 ss CDPJ (Code de droit privé judiciaire vaudois du 12 janvier 2010 ; BLV 211.02), ouvre la voie de l'appel contre les décisions de première instance sur les mesures provisionnelles,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à teneur de l'art. 84 al. 2 LOJV (Loi d'organisation judiciaire vaudoise du 12 décembre 1979 ; BLV 173.01). Dans un arrêt CACI du 5 février 2019/51, le juge délégué de la Cour d'appel civile du Tribunal cantonal a estimé qu'une contestation dirigée contre une décision de transfert qui n'avait pas d'incidence directe sur la rémunération de l'appelant était une cause de nature non patrimoniale.</w:t>
      </w:r>
    </w:p>
    <w:p>
      <w:r>
        <w:rPr>
          <w:b/>
        </w:rPr>
        <w:t>E. 1.2</w:t>
      </w:r>
    </w:p>
    <w:p>
      <w:r>
        <w:t>En l'espèce, l'appel a été formé en temps utile par une partie qui a un intérêt digne de protection (art. 59 al. 2 let. a CPC). Il est dirigé contre une ordonnance de mesures provisionnelles de première instance, dans une cause visant à obtenir la suspension d'une décision d'ouverture d'une procédure de suppression de poste. La cause peut être considérée comme de nature non patrimoniale. Partant,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L'appelante reproche tout d'abord au premier juge une « appréciation incorrecte des faits » en ce sens que son argumentation aurait été mal comprise. Le premier juge aurait affirmé qu'elle soutenait que le courrier du</w:t>
      </w:r>
    </w:p>
    <w:p>
      <w:r>
        <w:rPr>
          <w:b/>
        </w:rPr>
        <w:t>E. 3.2.1</w:t>
      </w:r>
    </w:p>
    <w:p>
      <w:r>
        <w:t>L'appelante se plaint ensuite de ce que son droit d'être entendue aurait été violé, le premier juge n'ayant répondu à « aucun de ses arguments ».</w:t>
      </w:r>
    </w:p>
    <w:p>
      <w:r>
        <w:rPr>
          <w:b/>
        </w:rPr>
        <w:t>E. 3.2.2</w:t>
      </w:r>
    </w:p>
    <w:p>
      <w:r>
        <w:t>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143 III 65 consid. 5.2 ; 139 IV 179 consid. 2.2), de manière à ce que l'intéressé puisse se rendre compte de la portée de celle-ci et l'attaquer en connaissance de cause (ATF 143 IV 40 consid. 3.4.3 ; 141 IV 249 consid. 1.3.1 ; 139 IV 179 consid. 2.2). Il n'a toutefois pas l'obligation d'exposer et de discuter tous les faits, moyens de preuve et griefs invoqués par les parties, mais peut se limiter à l'examen des questions décisives pour l'issue du litige (ATF 147 IV 249 consid. 2.4 ; 142 II 154 consid. 4.2 ; 139 IV 179 consid. 2.2). La motivation peut d'ailleurs être implicite et résulter des différents considérants de la décision (ATF 141 V 557 consid. 3.2.1 ; TF 7B_937/2023 du 27 décembre 2023 consid. 2.2.2).</w:t>
      </w:r>
    </w:p>
    <w:p>
      <w:r>
        <w:rPr>
          <w:b/>
        </w:rPr>
        <w:t>E. 3.2.3</w:t>
      </w:r>
    </w:p>
    <w:p>
      <w:r>
        <w:t>En l'occurrence, le premier juge n'a pas été convaincu par l'argumentation de l'appelante, selon laquelle la suppression de poste elle-même serait une décision sujette à recours. L'appelante l'a compris et a pu reprendre ses arguments en appel, de sorte que son droit d'être entendue n'a pas été violé.</w:t>
      </w:r>
    </w:p>
    <w:p>
      <w:r>
        <w:rPr>
          <w:b/>
        </w:rPr>
        <w:t>E. 3.2.4</w:t>
      </w:r>
    </w:p>
    <w:p>
      <w:r>
        <w:t>L'appelante conteste une phrase de l'ordonnance querellée, qu'elle comprend en ce sens que le premier juge aurait admis que la « procédure de suppression » de poste pouvait être contestée, mais pas la suppression elle-même. Elle estime impossible de contester la procédure de suppression de poste sans contester la suppression elle-même. C'est mal comprendre la décision. Ce qui est contestable, ce sont les décisions qui suivent la suppression de poste, à savoir ses conséquences (transfert ou résiliation). Le grief est rejeté.</w:t>
      </w:r>
    </w:p>
    <w:p>
      <w:r>
        <w:rPr>
          <w:b/>
        </w:rPr>
        <w:t>E. 3.3.1</w:t>
      </w:r>
    </w:p>
    <w:p>
      <w:r>
        <w:t>L'appelante, qui reprend son argumentation de première instance, considère qu'il y existerait bien une décision administrative. Il serait « dans l'intérêt public » que la présente cause fasse l'objet d'un contrôle judiciaire, car elle avait ceci de spécial que la suppression de poste avait été décidée pendant une incapacité de travail de l'employée, violant ainsi l'art. 336c al. 1 let. b CO.</w:t>
      </w:r>
    </w:p>
    <w:p>
      <w:r>
        <w:rPr>
          <w:b/>
        </w:rPr>
        <w:t>E. 3.3.2</w:t>
      </w:r>
    </w:p>
    <w:p>
      <w:r>
        <w:t>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L'art. 62 al. 1 LPers-VD prévoit que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(al. 1). Selon l'alinéa 2 de cette disposition, si les mesures prévues à l'alinéa premier ne sont pas réalisables, le chef de département résilie le contrat moyennant un préavis de six mois. L'art. 60 al. 2 LPers-VD - qui prévoit une indemnité calculée selon le nombre d'années de service - est applicable dans le cas d'une telle résiliation, à moins que le collaborateur ait refusé le transfert à un poste convenable selon la définition de la loi sur le chômage. Conçu pour protéger le collaborateur afin de lui permettre de ne pas se retrouver sans aucune sécurité de l’emploi à bref délai, l'art. 62 LPers-VD ne confère pas un droit à un emploi de remplacement dans l'administration cantonale en cas de suppression de poste (TF 8C_176/2009 du 14 septembre 2009 consid. 7.2 ; Novier/Carreira/Camarada, Panorama de la jurisprudence récente du Tribunal de prud’hommes de l’Administration cantonale [TRIPAC] in JdT 2015 III 3, 39 s.).</w:t>
      </w:r>
    </w:p>
    <w:p>
      <w:r>
        <w:rPr>
          <w:b/>
        </w:rPr>
        <w:t>E. 3.3.3</w:t>
      </w:r>
    </w:p>
    <w:p>
      <w:r>
        <w:t>En droit privé, l'art. 336c al. 1 let. b CO dispose qu'après le temps d'essai, l'employeur ne peut pas résilier le contrat de travail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cette période est nul (art. 336c al. 2 phr. 1 CO). L'art. 336c CO s'applique à titre de droit cantonal supplétif aux rapports de travail soumis à la LPers-VD (art. 60 al. 5 LPers-VD).</w:t>
      </w:r>
    </w:p>
    <w:p>
      <w:r>
        <w:rPr>
          <w:b/>
        </w:rPr>
        <w:t>E. 3.3.5</w:t>
      </w:r>
    </w:p>
    <w:p>
      <w:r>
        <w:t>En l'espèce, l'argumentation de l'appelante ne peut pas être suivie. D'une manière générale, un employé ne peut pas contraindre un employeur à faire exister le poste qu'il souhaite occuper. Tout au plus peut-il se plaindre des conséquences de la suppression de son poste et demander, par exemple, un dédommagement. La LPers-VD a été lue et appliquée correctement par le premier juge. Le fait que la situation de l'appelante soit spéciale n'y change rien. Elle n'a pas fait, à ce stade, l'objet d'un licenciement. Partant, le grief n'est pas fondé. 4. 4.1 En conclusion, l'appel doit être rejeté, selon le mode procédural de l'art. 312 al. 1 in fine CPC et l'ordonnance de mesures provisionnelles confirmée. 4.2 Les frais judiciaires d'appel - arrêtés à 800 fr. (art. 64 al. 1 TFJC [tarif des frais judiciaires civils du 28 septembre 2010 ; BLV 270.11.5]) - sont mis à la charge de l'appelante, qui succombe (art. 106 al. 1 CPC) et qui en a déjà fait l'avance. 4.3 L'intimé n'ayant pas été invité à se déterminer, il n'y a pas matière à l'allocation de dépens pour celui-ci. Par ces motifs, la juge unique de la Cour d’appel civile prononce : I. L’appel est rejeté. II. L'ordonnance est confirmée. III. Les frais judiciaires de deuxième instance, arrêtés à 800 fr. (huit cents francs), sont mis à la charge de l'appelante N.________. IV. L'arrêt est exécutoire. La juge unique :               La greffière : Du Le présent arrêt, dont la rédaction a été approuvée à huis clos, est notifié à : ‑ Me Stéphane CECCONI, avocat (pour N.________), ‑ Service pénitentiaire (pour O.________). et communiqué, par l'envoi de photocopies, à : ‑ Mme la Présidente du Tribunal de prud'hommes de l'Administration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juillet 2019 contenait une voie de droit. Ce n'est pas un « fait » à proprement parler. Et c'est surtout sans aucune incidence sur la décision litigieuse. La requête n'a pas été rejetée pour le motif que ledit courrier contiendrait une voie de droit. L'état de fait de la première décision n'a dès lors pas à être corrigé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