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279 vom 24. Januar 2025</w:t>
      </w:r>
    </w:p>
    <w:p>
      <w:r>
        <w:t>VD Tribunal cantonal, 2025-01-24, FR</w:t>
      </w:r>
    </w:p>
    <w:p>
      <w:r>
        <w:rPr>
          <w:b/>
        </w:rPr>
        <w:t xml:space="preserve">Quelle: </w:t>
      </w:r>
      <w:r>
        <w:t>https://mcp.opencaselaw.ch/entscheid/vd_findinfo_HC___2025___279</w:t>
      </w:r>
    </w:p>
    <w:p>
      <w:r>
        <w:t>FR: VD_FINDINFO HC / 2025 / 279 du 24 janvier 2025</w:t>
      </w:r>
    </w:p>
    <w:p>
      <w:r>
        <w:t>IT: VD_FINDINFO HC / 2025 / 279 del 24 gennaio 2025</w:t>
      </w:r>
    </w:p>
    <w:p>
      <w:pPr>
        <w:pStyle w:val="Heading2"/>
      </w:pPr>
      <w:r>
        <w:t>Regeste</w:t>
      </w:r>
    </w:p>
    <w:p>
      <w:r>
        <w:t>COMPÉTENCE, COMPÉTENCE RATIONE MATERIAE, INTÉRÊT DE FAIT, INTÉRÊT ÉCONOMIQUE | 113 al. 1 LOJV, 113 LOJV, 92 al. 2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doit être introduit dans les trente jours à compter de la notification de la décision motivée ou de la notification postérieure de la motivation (art. 311 al. 1 CPC). 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 e éd., Berne 2016, n. 2245 p. 374).</w:t>
      </w:r>
    </w:p>
    <w:p>
      <w:r>
        <w:rPr>
          <w:b/>
        </w:rPr>
        <w:t>E. 1.2</w:t>
      </w:r>
    </w:p>
    <w:p>
      <w:r>
        <w:t>En l’espèce, l’appel est interjeté en temps utile par une partie qui a un intérêt digne de protection (art. 59 al. 2 let. a CPC) et est dirigé contre une décision d’irrecevabilité, à savoir contre une décision finale de première instance. Il porte par ailleurs sur une cause dont la valeur litigieuse est supérieure à 10'000 fr., comme il sera examiné ci-dessous (cf. consid. 3.3 infra ). L’appel est ainsi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Les appelants contestent le défaut de compétence de la juge de paix. Ils soutiennent que leur réintégration dans la gestion de l’immeuble litigieux est une question de principe, si bien que leurs conclusions en ce sens revêtiraient un caractère purement idéal. En outre, ils relèvent que la valeur objective du legs dont la remise est demandée n’est pas déterminable, car elle dépend de plusieurs facteurs.</w:t>
      </w:r>
    </w:p>
    <w:p>
      <w:r>
        <w:rPr>
          <w:b/>
        </w:rPr>
        <w:t>E. 3.2</w:t>
      </w:r>
    </w:p>
    <w:p>
      <w:r>
        <w:t>Aux termes de l’art. 59 CPC, le tribunal n’entre en matière que sur les demandes et les requêtes qui satisfont aux conditions de recevabilité de l’action (al. 1), lesquelles comprennent la compétence à raison de la matière et du lieu de l’autorité saisie (al. 2 let. b), le tribunal examinant d’office si les conditions de recevabilité sont remplies (art. 60 CPC). L’art. 113 al. 1bis LOJV (Loi d’organisation judiciaire du 12 septembre 1979 ; BLV 173.01) prévoit que « [l]e juge de paix connaît de toutes les causes patrimoniales dont la valeur litigieuse est inférieure à 10'000 francs et qui ne sont pas attribuées par la loi à une autre autorité. Cette règle est impérative. ». Au stade de la conciliation, seules les conditions de recevabilité propres à l’instance entamée par le dépôt de la requête de conciliation, telles que les compétences ratione loci ou materiae ,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au tribunal saisi le soin de se prononcer sur lesdites conditions, l'autorité de conciliation n'ayant en principe pas de compétence juridictionnelle (CACI 19 janvier 2024/23 ; CREC 16 août 2021/223, JdT 2022 III 49 ; CREC 12 février 2018/46 ; CREC 9 novembre 2015/388). L’action en délivrance du legs est une action civile personnelle, de nature patrimoniale et condamnatoire (François Bohnet, Actions civiles, Volume 1 : CC et LP, 2 e éd., n. 4, § 37). La valeur litigieuse correspond à la valeur objective des biens dont la remise est demandée ( idem , n. 6, § 37). Les revenus et prestations périodiques ont la valeur du capital qu’ils représentent (art. 92 al. 1 CPC [Code de procédure civile du 19 décembre 2008 ; RS 210]). Si la durée des revenus et prestations périodiques est indéterminée ou illimitée, le capital est constitué du montant annuel du revenu ou de la prestation multiplié par vingt (al. 2).</w:t>
      </w:r>
    </w:p>
    <w:p>
      <w:r>
        <w:rPr>
          <w:b/>
        </w:rPr>
        <w:t>E. 3.3</w:t>
      </w:r>
    </w:p>
    <w:p>
      <w:r>
        <w:t>En l’espèce, on peine à voir le but idéal que représenterait la gestion d’un immeuble ; il est au contraire évident qu’il s’agit d’une fonction occupée dans un but principalement financier. Les appelants ne contestent d’ailleurs pas que E.________ assumerait ce mandat contre une rémunération qui va au-delà d’un simple défraiement. Au demeurant, ils se contentent d’affirmer l’existence d’un but idéal mais n’expliquent aucunement en quoi il consisterait. L’appréciation de la juge de paix sur ce point doit être entièrement confirmée. Comme l’a relevé la juge de paix – et ce n’est pas contesté –, l’action en délivrance de legs est une action de nature patrimoniale. La valeur litigieuse doit être déterminée par l’intérêt des appelants, à savoir ce qu’ils retireraient du mandat de gestion. Selon leurs propres allégations, confirmées en appel, la gérance de l’immeuble leur rapporterait environ 46'015 fr. par an. Les appelants font valoir qu’ils n’ont pas de garantie d’obtenir ce montant chaque année et qu’il est approximatif. Cet élément est sans pertinence puisque, si la valeur litigieuse ne peut pas être déterminée avec exactitude, le juge peut l’estimer sur la base des éléments à sa disposition. En l’espèce, même si les appelants obtiennent vraisemblablement, suivant les années, un peu plus ou un peu moins, la juge de paix pouvait valablement se fonder sur le montant de 46'015 fr. qu’ils avaient eux-mêmes allégué. La valeur litigieuse déterminante – capitalisée – est donc de 920'300 fr. (46'015 fr. x 20 [art. 92 al. 2 CPC précité]). On relèvera que l’allégation des appelants selon laquelle ils ne retireraient qu’un profit effectif de 10% du montant de 46'015 fr., soit environ 4'601 fr. par an, est sans pertinence. La valeur litigieuse est estimée sur la base du chiffre d’affaires auquel prétend le demandeur, indépendamment de la marge bénéficiaire alléguée. Au demeurant, en l’espèce, même à tenir compte du montant de 4'601 fr., la valeur litigieuse totale, soit 92'020 fr. (4'601 fr. x 20), exclurait la compétence de la juge de paix. En définitive, la valeur litigieuse de la requête de conciliation du 20 septembre 2024 s’élevant à 920'300 fr., elle dépasse la limite de 10'000 fr. de l’art. 113 al. 1bis LOJV, si bien que la juge de paix n’était pas compétente pour la traiter.</w:t>
      </w:r>
    </w:p>
    <w:p>
      <w:r>
        <w:rPr>
          <w:b/>
        </w:rPr>
        <w:t>E. 4.1</w:t>
      </w:r>
    </w:p>
    <w:p>
      <w:r>
        <w:t>En définitive, l’appel doit être rejeté selon le mode procédural de l’art. 312 al. 1 in fine CPC, et la décision attaquée confirmée.</w:t>
      </w:r>
    </w:p>
    <w:p>
      <w:r>
        <w:rPr>
          <w:b/>
        </w:rPr>
        <w:t>E. 4.2</w:t>
      </w:r>
    </w:p>
    <w:p>
      <w:r>
        <w:t>Au vu de l’issue du litige, les frais judiciaires de deuxième instance, arrêtés à 10'203 fr. (art. 62 al. 1 TFJC [tarif des frais judiciaires civils du 28 septembre 2010 ; BLV 270.11.5]) et ramenés à 6'000 fr. compte tenu du principe d’équivalence (ATF 141 I 105 consid. 3.3.2 ; ATF 139 III 334 consid. 3.2.4 et réf. cit. ; TF 5A_472/2016 du 14 février 2017 consid. 5.1.1), doivent être mis à la charge des appelants, qui succombent, solidairement entre eux (art. 106 al. 1 CPC).</w:t>
      </w:r>
    </w:p>
    <w:p>
      <w:r>
        <w:rPr>
          <w:b/>
        </w:rPr>
        <w:t>E. 4.3</w:t>
      </w:r>
    </w:p>
    <w:p>
      <w:r>
        <w:t>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