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27 vom 6. Januar 2025</w:t>
      </w:r>
    </w:p>
    <w:p>
      <w:r>
        <w:t>VD Tribunal cantonal, 2025-01-06, FR</w:t>
      </w:r>
    </w:p>
    <w:p>
      <w:r>
        <w:rPr>
          <w:b/>
        </w:rPr>
        <w:t xml:space="preserve">Quelle: </w:t>
      </w:r>
      <w:r>
        <w:t>https://mcp.opencaselaw.ch/entscheid/vd_findinfo_HC___2025___27</w:t>
      </w:r>
    </w:p>
    <w:p>
      <w:r>
        <w:t>FR: VD_FINDINFO HC / 2025 / 27 du 6 janvier 2025</w:t>
      </w:r>
    </w:p>
    <w:p>
      <w:r>
        <w:t>IT: VD_FINDINFO HC / 2025 / 27 del 6 gennaio 2025</w:t>
      </w:r>
    </w:p>
    <w:p>
      <w:pPr>
        <w:pStyle w:val="Heading2"/>
      </w:pPr>
      <w:r>
        <w:t>Regeste</w:t>
      </w:r>
    </w:p>
    <w:p>
      <w:r>
        <w:t>PROCÈS DEVENU SANS OBJET, DÉPENS, DROIT D'OBTENIR UNE DÉCISION, RETARD INJUSTIFIÉ | 106 al. 1 CPC (CH), 242 CPC (CH), 319 let. c CPC (CH)</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 4 CPC).</w:t>
      </w:r>
    </w:p>
    <w:p>
      <w:r>
        <w:rPr>
          <w:b/>
        </w:rPr>
        <w:t>E. 1.2</w:t>
      </w:r>
    </w:p>
    <w:p>
      <w:r>
        <w:t>II n'y a plus d'intérêt au recours pour déni de justice, lorsque la décision prétendument tardive a été entretemps rendue (ATF 125 V 373 consid. 1 ; TF 5A_911/2019 du 28 janvier 2020 consid. 3.1).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4A_549/2021 du 16 décembre 2021 consid. 2.5.1 et les réf. citées ; TF 5A_339/2016 du 27 janvier 2017 consid. 1.2), singulièrement une violation de l'art. 5 ch. 4 CEDH (privation de liberté ; TF 5A_911/2019 du 28 janvier 2020 consid. 4.1).</w:t>
      </w:r>
    </w:p>
    <w:p>
      <w:r>
        <w:rPr>
          <w:b/>
        </w:rPr>
        <w:t>E. 1.3</w:t>
      </w:r>
    </w:p>
    <w:p>
      <w:r>
        <w:t>En l'espèce, le recours a été déposé le 22 août 2024 et le jugement de divorce visé par ses conclusions a été rendu le 3 octobre 2024. Il en résulte que le recours pour déni de justice a perdu son objet, comme en convient le recourant implicitement dans ses courriers des 10 et 11 octobre 2024. Il convient donc d'en prendre acte et de rayer la cause du rôle (art. 242 CPC).</w:t>
      </w:r>
    </w:p>
    <w:p>
      <w:r>
        <w:rPr>
          <w:b/>
        </w:rPr>
        <w:t>E. 2</w:t>
      </w:r>
    </w:p>
    <w:p>
      <w:r>
        <w:t>e éd., Bâle 2019, nn. 22 et 24 ad art. 107 al. 1 let. e CPC). Dans l'exercice du pouvoir d'appréciation découlant de l'art. 107 al. 1 let. e CPC, il convient de prendre en considération la partie qui a donné lieu à la procédure, l'issue prévisible de celle-ci et les motifs qui ont conduit à la rendre sans objet (ATF 142 V 551 consid. 8.2 et les références citées ; TF 5A_729/2021, loc. cit. ; TF 5A_1047/2019 du 3 mars 2020 consid. 3.1.1 et les réf. citées, in Revue suisse de procédure civile [RSPC1 2020 p. 342). On peut aussi tenir compte de la précipitation de la partie demanderesse et de la partie qui a occasionné des frais inutiles (TF 4A_540/2021 du 17 janvier 2022 consid. 2.1 ; TF 4A_441/2021 du 28 décembre 2021 consid. 2.1). Il n'y a pas d'ordre de priorité entre ces divers critères. Ils ne doivent pas non plus nécessairement être examinés cumulativement ; il faut au contraire déterminer, selon les circonstances du cas concret, quel(s) critère(s) est (sont) le mieux adapté(s) à la situation (TF 5A_729/2021, loc. cit. ; TF 4A_540/2021 précité, consid. 2.3.1 ; TF 5A_1047/2019, loc. cit. ). Lorsque l'issue du litige ne peut être déterminée sommairement, la référence à ce critère est manifestement inadaptée et le tribunal ne peut s'y référer sans mésuser de son pouvoir d'appréciation (TF 5A_717/2020 du 2 juin 2021 consid. 4.2.2.2, in RSPC 2021 p. 420, note Droese). Les règles générales de la procédure civile s'appliquent alors, les frais et dépens étant mis à la charge de la partie qui a provoqué la procédure devenue sans objet ou chez laquelle sont intervenues les causes ayant conduit à ce que cette procédure devienne sans objet (TF 5A_406/2016 du 26 septembre 2016 consid. 2).</w:t>
      </w:r>
    </w:p>
    <w:p>
      <w:r>
        <w:rPr>
          <w:b/>
        </w:rPr>
        <w:t>E. 2.1</w:t>
      </w:r>
    </w:p>
    <w:p>
      <w:r>
        <w:t>Le recourant réclame toutefois que le dossier soit « tranché » sur la question des frais et dépens. Il convient donc de déterminer si le dépôt du recours était justifié.</w:t>
      </w:r>
    </w:p>
    <w:p>
      <w:r>
        <w:rPr>
          <w:b/>
        </w:rPr>
        <w:t>E. 2.2</w:t>
      </w:r>
    </w:p>
    <w:p>
      <w:r>
        <w:t>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(ATF 145 III 153 consid. 4.1). Les frais – qui comprennent les frais judiciaires et les dépens (art. 95 al. 1 CPC) – sont donc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soit notamment lorsque la procédure est devenue sans objet et la loi n'en dispose pas autrement (art. 107 al. 1 let. e CPC ; ATF 145 III 153 consid. 3.3.2 ; ATF 142 V 551 consid. 8.2 ; TF 5A_729/2021 du 24 février 2022 consid. 4.2.2.2.1). Cette hypothèse vise notamment les cas dans lesquels la cause est rayée du rôle en application de l'art. 242 CPC (procédure devenue sans objet pour d'autres raisons) et non sur la base de l'art. 241 CPC (transaction, acquiescement et désistement d'action) (CREC 29 novembre 2022/276 ; CREC 31 janvier 2022/30 ; Tappy, in. Bohnet et al., Commentaire romand, Code de procédure civile,</w:t>
      </w:r>
    </w:p>
    <w:p>
      <w:r>
        <w:rPr>
          <w:b/>
        </w:rPr>
        <w:t>E. 2.3</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 I 318 consid. 7.1 ; TF 5D_13/2021 du 26 août 2021 consid. 4.3.1; CREC 15 février 2024/41).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 TF 4A_321/2018 du 25 juillet 2018 consid. 1 ; CREC 10 octobre 2019/274).</w:t>
      </w:r>
    </w:p>
    <w:p>
      <w:r>
        <w:rPr>
          <w:b/>
        </w:rPr>
        <w:t>E. 2.4</w:t>
      </w:r>
    </w:p>
    <w:p>
      <w:r>
        <w:t>En l'espèce, force est tout d'abord de constater que non seulement les conditions d'octroi des conclusions prises par le recourant ne sont pas réalisées, mais que le recours aurait dû être déclaré irrecevable s'il n'était pas devenu sans objet. En effet, les conclusions du recours portaient sur la reddition du jugement de divorce litigieux, sans toutefois que le mémoire d'appel n'expose en réalité les motifs fondant à son sens l'existence d'un déni de justice. Si le recourant invoquait être séparé depuis plus de 10 ans, s'attendre à plaider la cause en mai 2023, souhaiter faire des investissements avec sa nouvelle compagne avec laquelle il est en relation depuis bientôt 10 ans, être bientôt à la retraite et que dits investissements ne seraient alors plus possibles ou encore que sa liberté économique et familiale serait gravement péjorée, on ne trouve trace dans son mémoire du retard injustifié dont il entend se prévaloir. On ne sait s'il se plaint de la durée de l'ensemble de la procédure ou si ce n'est que du délai intervenu entre les plaidoiries écrites et le jour du dépôt du recours. Il n'expose pas plus de quelle manière les délais intervenus seraient contraires au principe de célérité, respectivement violeraient l'art. 29 al. 1 Cst. A défaut de toute motivation, exigée par l’art. 321 al. 1 CPC, le recours n'aurait pu qu'être déclaré irrecevable. Quand bien même recevable, le recours aurait dû être rejeté. Celui-ci a été déposé le 22 août 2024, soit un peu plus de sept mois après le dépôt des plaidoiries écrites le 15 janvier 2024, et un peu plus de quatre mois après celui du courrier de la DGEJ du 11 avril 2024. Ce délai ne paraît pas excessif au vu des circonstances. On relèvera à ce titre que si les parties ont passé deux conventions à l'audience du 8 novembre 2023, plusieurs questions restaient à résoudre, quant à l'opportunité et la nature de la mesure de protection à instituer en faveur des enfants des parties (même si celles-ci avaient convenu entre elles d'une mesure de surveillance), de leur prise en charge financière, ou encore de la liquidation du régime matrimonial. Contrairement à ce que paraît soutenir le recourant, la reddition d'un jugement dans un délai très court était manifestement impossible. Cela est d'ailleurs confirmé par le fait que le jugement rendu comporte 109 pages, dispositif compris. Dans ces conditions, il ne se justifie pas d'allouer des dépens de deuxième instance au recourant. Les frais de deuxième instance peuvent toutefois être laissés à la charge de l'Etat (art. 11 TFJC [tarif des frais judiciaires civils du 28 septembre 2010 ; BLV 270.11.5]). Par ces motifs, la Chambre des recours civile du Tribunal cantonal, prononce : I. Le recours est sans objet. II. Il n'est pas alloué de dépens. III. La cause est rayée du rôle. IV. L'arrêt, rendu sans frais judiciaires de deuxième instance, est exécutoire. La juge présidant : La greffière : Du L'arrêt qui précède est notifié en expédition complète, par l'envoi de photocopies, à : ‑ Me Donia Rostane (pour X.________), ‑ Me Pierre Ventura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