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230 vom 17. April 2025</w:t>
      </w:r>
    </w:p>
    <w:p>
      <w:r>
        <w:t>VD Tribunal cantonal, 2025-04-17, FR</w:t>
      </w:r>
    </w:p>
    <w:p>
      <w:r>
        <w:rPr>
          <w:b/>
        </w:rPr>
        <w:t xml:space="preserve">Quelle: </w:t>
      </w:r>
      <w:r>
        <w:t>https://mcp.opencaselaw.ch/entscheid/vd_findinfo_HC___2025___230</w:t>
      </w:r>
    </w:p>
    <w:p>
      <w:r>
        <w:t>FR: VD_FINDINFO HC / 2025 / 230 du 17 avril 2025</w:t>
      </w:r>
    </w:p>
    <w:p>
      <w:r>
        <w:t>IT: VD_FINDINFO HC / 2025 / 230 del 17 aprile 2025</w:t>
      </w:r>
    </w:p>
    <w:p>
      <w:pPr>
        <w:pStyle w:val="Heading2"/>
      </w:pPr>
      <w:r>
        <w:t>Regeste</w:t>
      </w:r>
    </w:p>
    <w:p>
      <w:r>
        <w:t>RÉSERVE DE L'ORDRE PUBLIC, OBLIGATION D'ENTRETIEN, BIGAMIE | 105 ch.1 CC, 176 al. 1 ch. 1 CC, 176 al. 1 ch. 3 CC, 285 al. 1 CC</w:t>
      </w:r>
    </w:p>
    <w:p>
      <w:pPr>
        <w:pStyle w:val="Heading2"/>
      </w:pPr>
      <w:r>
        <w:t>Erwägungen</w:t>
      </w:r>
    </w:p>
    <w:p>
      <w:r>
        <w:rPr>
          <w:b/>
        </w:rPr>
        <w:t>E. 1</w:t>
      </w:r>
    </w:p>
    <w:p>
      <w:r>
        <w:t>let. b CPC (Tappy, Les voies de droit du nouveau Code de procédure civile, in JdT 2010 III 115, spéc. p. 121), dans les causes non patrimoniales ou dont la valeur litigieuse, au dernier état des conclusions devant l’autorité inférieure, est de 10'000 fr. au moins (art. 308 al.</w:t>
      </w:r>
    </w:p>
    <w:p>
      <w:r>
        <w:rPr>
          <w:b/>
        </w:rPr>
        <w:t>E. 1.1</w:t>
      </w:r>
    </w:p>
    <w:p>
      <w:r>
        <w:t>L’appel est recevable contre les ordonnances de mesures provisionnelles au sens de l'art. 308 al.</w:t>
      </w:r>
    </w:p>
    <w:p>
      <w:r>
        <w:rPr>
          <w:b/>
        </w:rPr>
        <w:t>E. 1.2</w:t>
      </w:r>
    </w:p>
    <w:p>
      <w:r>
        <w:t>Formés en temps utile par des parties qui ont un intérêt digne de protection (art. 59 al. 2 let. a CPC) contre une ordonnance de mesures protectrices de l’union conjugale et portant sur des conclusions qui peuvent être considérées comme non pécuniaires dans leur ensemble (cf. ci-dessus consid. 1.1.1 in fine ), les appels, motivés conformément à l’art. 311 CPC, sont recevables. I. Appel de A.W.________</w:t>
      </w:r>
    </w:p>
    <w:p>
      <w:r>
        <w:rPr>
          <w:b/>
        </w:rPr>
        <w:t>E. 2</w:t>
      </w:r>
    </w:p>
    <w:p>
      <w:r>
        <w:t>Dans un premier moyen, l’appelant fait valoir que le mariage célébré le 1 er mars 2023 serait nul. Il entend en déduire l’absence d’obligation d’entretien envers l’appelante.</w:t>
      </w:r>
    </w:p>
    <w:p>
      <w:r>
        <w:rPr>
          <w:b/>
        </w:rPr>
        <w:t>E. 2.1</w:t>
      </w:r>
    </w:p>
    <w:p>
      <w:r>
        <w:t>Aux termes de l’art. 105 ch. 1 CC, le mariage doit être annulé lorsque l’un des époux était déjà marié au moment de la célébration et que le précédent mariage n’a pas été dissous par le divorce ou par le décès de son conjoint. A l’instar de l’art. 96 CC, cette disposition consacre le principe de la monogamie et celui de l’interdiction de la bigamie et de la polygamie, qui sont considérées comme des attitudes contraires à l’ordre public suisse (cf. ATAF 2012/5 du 27 mars 2012 consid. 4.5.2). Elle érige ainsi le mariage bi- ou polygame en cause absolue d’annulation pour violation d’une règle édictée dans l’intérêt public (Papaux van Delden, Mariage, partenariat enregistré, concubinage : évolutions récentes en matière de conclusion et validité, in FamPra.ch 2017 p. 913, 931 et la référence). Si le mariage antérieur a été dissous avant la conclusion du mariage considéré, ce dernier ne peut être annulé sur la base de l’art. 105 al. 1 CC. L’art. 105 ch. 1 in fine CC mentionne le divorce et le décès du conjoint (par quoi il faut entendre l’autre conjoint de l’époux bigame) à titre de causes de dissolution du mariage antérieur (TF 5A_413/2022 du 9 janvier 2023 consid. 4.1.1 et les réf. cit.). De manière générale, la réserve de l’ordre public doit permettre au juge de ne pas apporter la protection de la justice suisse à des situations qui heurtent de manière choquante les principes les plus essentiels de l’ordre juridique, tel qu’il est conçu en Suisse (ATF 142 III 180 consid. 3.2 ; ATF 126 III 534 consid. 2c ; ATF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 la reconnaissance de la décision étrangère constitue la règle, dont il ne faut pas s’écarter sans de bonnes raisons (ATF 142 III 180 consid. 3.2; 126 III 101 consid. 3b; 126 III 127 consid. 2b et les arrêts cités).</w:t>
      </w:r>
    </w:p>
    <w:p>
      <w:r>
        <w:rPr>
          <w:b/>
        </w:rPr>
        <w:t>E. 2.2</w:t>
      </w:r>
    </w:p>
    <w:p>
      <w:r>
        <w:t>L’appelant fait valoir que lorsqu’il s’est marié avec l’appelante en secondes noces le 1 er mars 2003, le jugement de divorce sud-africain mettant fin à sa première union, daté du 13 janvier 2004, n’était pas encore définitif et exécutoire. Le mariage des parties n’aurait dès lors pas pu être valablement conclu, en raison d’une union précédente encore légalement valable. Il se prévaut d’un avis de droit dans ce sens établi par une étude d’avocat ([...]), spécialiste en droit matrimonial sud-africain. Avec l’appelant, on peut admettre qu’au moment du mariage des parties en 2003, le divorce de l’appelant n’était pas encore entré en force. Cependant, la situation de bigamie qui en résulte doit être relativisée, à tout le moins sous l’angle de la vraisemblance. En effet, de l’aveu de l’appelant, il ne vivait plus avec sa précédente épouse et le jugement de leur divorce avait été rendu. Il ne restait que l’entrée en force formelle de ce jugement, laquelle est intervenue quelques mois seulement après le mariage des parties. L’appelant ne prétend pas que ce jugement de divorce ne pouvait pas être reconnu en Suisse. Sous l’angle de la vraisemblance, le mariage des parties n’est pas affecté d’un motif absolu d’annulation et doit être considéré comme valable.</w:t>
      </w:r>
    </w:p>
    <w:p>
      <w:r>
        <w:rPr>
          <w:b/>
        </w:rPr>
        <w:t>E. 3</w:t>
      </w:r>
    </w:p>
    <w:p>
      <w:r>
        <w:t>Dans la mesure où l’appelant ne développe pas d’autres arguments pour s’opposer au versement d’une pension à son épouse, il n’y a pas lieu d’examiner plus avant sa conclusion, cela d’autant moins que celle-ci est soumise à la maxime de disposition (art. 58 CPC).</w:t>
      </w:r>
    </w:p>
    <w:p>
      <w:r>
        <w:rPr>
          <w:b/>
        </w:rPr>
        <w:t>E. 4</w:t>
      </w:r>
    </w:p>
    <w:p>
      <w:r>
        <w:t>Dans un dernier moyen, l’appelant demande la réforme de l’ordonnance attaquée, en ce sens que l’interdiction de disposer de l’immeuble sis [...], propriété de l’appelant soit levée. L’appelant prétend que dès lors que les parties sont mariées sous le régime de la séparation des biens, l’immeuble précité serait un bien propre. Il ne serait pas partagé au moment de la liquidation du régime matrimonial et l’appelante n’aurait aucune prétention à faire valoir de ce chef. Il ne se justifierait dès lors pas d’imposer une restriction de disposer sur cet immeuble pour garantir une éventuelle créance de l’appelante. Les arguments de l’appelant ne peuvent pas être examinés à ce stade du procès. En effet, comme la présidente l’a retenu, ce n’est qu’au moment de la liquidation du régime matrimonial qu’il y aura lieu de déterminer les propres et les acquêts des parties et on ne peut pas exclure que l’appelante n’aura pas de créance notamment en lien avec l’arriéré de contributions d’entretien à faire valoir sur les biens de son époux.</w:t>
      </w:r>
    </w:p>
    <w:p>
      <w:r>
        <w:rPr>
          <w:b/>
        </w:rPr>
        <w:t>E. 5</w:t>
      </w:r>
    </w:p>
    <w:p>
      <w:r>
        <w:t>Il découle de ce qui précède que l’appel doit être rejeté en tant qu’il tend à la suppression de la contribution d’entretien de l’épouse et la levée de l’interdiction de disposer sur l’immeuble sis à [...]. II. Appel de B.W.________</w:t>
      </w:r>
    </w:p>
    <w:p>
      <w:r>
        <w:rPr>
          <w:b/>
        </w:rPr>
        <w:t>E. 6</w:t>
      </w:r>
    </w:p>
    <w:p>
      <w:r>
        <w:t>Il convient de constater que les conclusions de l’appelante n’ont plus d’objet en tant qu’elle demande la garde exclusive sur [...], née le 1 er septembre 2006, donc aujourd’hui majeure. On ne voit pas non plus qu’il y ait lieu d’accorder la garde avec effet rétroactif. Les conclusions sur ce point doivent être rejetées. Il reste à examiner la conclusion tendant à l’entretien financier de [...] à hauteur de 11'745 fr. pour la période du 1 er mai au 31 août 2024. La première juge a astreint l’appelant à contribuer à l’entretien financier de sa fille en s’acquittant directement de l’intégralité des coûts directs de [...], qui sera domiciliée auprès de lui, à hauteur de son entretien convenable de 11'745 fr., par mois, y compris les frais d’écolage. Sur la base des déclarations de l’appelant en audience d’appel et des courriers de l’enfant [...], on retient que pendant la période du 1 er mai au 31 août 2024, celle-ci n’a pas été prise en charge par sa mère. Elle était en pensionnat et a passé la majeure partie de ses vacances chez des amis au lieu de séjourner chez sa mère, avec laquelle elle a déclaré ne pas s’entendre. Dès lors que la conclusion tendant au versement de la contribution d’entretien en mains de la mère repose sur la prémisse – non fondée – que l’enfant a été gardée par sa mère, cette conclusion doit être rejetée.</w:t>
      </w:r>
    </w:p>
    <w:p>
      <w:r>
        <w:rPr>
          <w:b/>
        </w:rPr>
        <w:t>E. 7.1</w:t>
      </w:r>
    </w:p>
    <w:p>
      <w:r>
        <w:t>En définitive, tant l’appel de A.W.________ que celui de B.W.________, dans la mesure où ils n’ont pas perdu leurs objets, doivent être rejetés. Il y a dès lors lieu de considérer que chaque partie succombe sur son propre appel et obtient gain de cause sur l’appel de l’autre. Vu l’issue des causes, les frais d’interprète, par 218 fr. 30 (art. 91 TFJC [tarif des frais judiciaires civils du 28 septembre 2010 ; BLV 270.11.5]), seront répartis par moitiés entre les parties et chacune d’elles assumera l’émolument de décision relatif à son propre appel. Par conséquent, les frais judiciaires relatifs à l’appel déposé par A.W.________, arrêtés à 709 fr. 15, soit 600 fr. d’émolument de décision (art. 65 al. 2 TFJC) et 109 fr. 15 de frais d’interprète, seront mis à sa charge (art. 106 al. 1 CPC). De même, l’appelante B.W.________ assumera les frais relatifs à son propre appel (art. 106 al. 1 CPC), arrêtés à 709 fr. 15, soit 600 fr. d’émolument de décision (art. 65 al. 2 TFJC) et 109 fr. 15 de frais d’interprète. Ils seront toutefois provisoirement supportés par l’Etat compte tenu de l’assistance judiciaire accordée à l'appelante (art. 122 al. 1 let. b CPC). En application de l’art. 111 al. 1 première phrase CPC (dans sa version au 31 décembre 2024), un montant de 3'790 fr. 85 (4'500 fr. d’avance de frais – 709 fr. 15 de frais judiciaires effectifs) doit être restitué à l’appelant. Dès lors que chaque partie obtient gain de cause sur l’appel de l’autre, les dépens de deuxième instance seront compensés.</w:t>
      </w:r>
    </w:p>
    <w:p>
      <w:r>
        <w:rPr>
          <w:b/>
        </w:rPr>
        <w:t>E. 7.2</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 ‑ stagiaire (art. 2 al. 1 let. a et b RAJ [règlement du 7 décembre 2010 sur l’assistance judiciaire en matière civile ; BLV 211.02.3]). Les débours du conseil commis d’office sont fixés forfaitairement à 2 % du défraiement hors taxe en deuxième instance judiciaire (art. 3 bis al. 1 RAJ). Les vacations dans le canton de Vaud sont comptées forfaitairement à 120 fr. pour l’avocat breveté et à 80 fr. pour l’avocat stagiaire (art. 3 bis al. 3 RAJ). Dans sa liste d’opérations du 16 avril 2025, Me Marina Kilchenmann, conseil d’office de l’appelante, a indiqué avoir consacré 11 heures et 15 minutes au dossier et fait valoir des frais forfaitaires de vacation par 120 francs. Ce temps paraît adapté et peut être admis. Il en résulte que l’indemnité de Me Marina Kilchenmann, s’élève à 2'025 fr. (11 h 15 x 180 fr.), montant auquel s’ajoutent les débours, par 40 fr. 50 (2 % de 2'025 fr.), un forfait de vacation par 120 fr. et la TVA sur le tout, par 177 fr. 03, soit 2'362 fr. 53 au total, arrondis à 2'363 francs.</w:t>
      </w:r>
    </w:p>
    <w:p>
      <w:r>
        <w:rPr>
          <w:b/>
        </w:rPr>
        <w:t>E. 7.3</w:t>
      </w:r>
    </w:p>
    <w:p>
      <w:r>
        <w:t>L’appelante remboursera sa part aux frais judiciaires de deuxième instance et l’indemnité allouée à son conseil d’office, provisoirement mises à la charge de l’Etat, dès qu’elle sera en mesure de le faire (art. 123 CPC). Il incombe à la Direction générale des affaires institutionnelles et des communes de fixer le principe et les modalités de ce remboursement (art. 39a CDPJ [Code de droit privé judiciaires vaudois du 12 janvier 2010 ; BLV 211.02]). Par ces motifs, le Juge unique de la Cour d’appel civile prononce : I. L’appel de A.W.________ est rejeté. II. L’appel de B.W.________ est rejeté dans la mesure où il a encore un objet. III. L’ordonnance est confirmée. IV. Les frais judiciaires de deuxième instance relatifs à l’appel de A.W.________, arrêtés à 709 fr. 15 (sept cent neuf francs et quinze centimes), sont mis à la charge de ce dernier, tandis que les frais judiciaires de deuxième instance relatifs à l’appel de B.W.________, arrêtés à 709 fr. 15 (sept cent neuf francs et quinze centimes), sont mis à la charge de cette dernière, mais provisoirement laissés à la charge de l’Etat. Un montant de 3'790 fr. 85 (trois mille sept cent nonante francs et huitante-cinq centimes) est restitué à l’appelant A.W.________ pour son avance de frais. V. Les dépens de deuxième instance sont compensés. VI. L’indemnité de Marina Kilchenmann, conseil d’office de l’appelante, B.W.________ est arrêtée à 2'363 fr. (deux mille trois cent soixante-trois francs), TVA, frais de vacation et débours compris. VII. La bénéficiaire de l’assistance judiciaire remboursera l’indemnité allouée à son conseil d’office et sa part aux frais judiciaires de deuxième instance, provisoirement laissées à la charge de l’Etat, dès qu’elle sera en mesure de le faire. VIII. L’arrêt est exécutoire. Le juge unique :               La greffière : Du Le présent arrêt, dont la rédaction a été approuvée à huis clos, est notifié en expédition complète à : ‑ Me Lorraine Ruf (pour A.W.________), ‑ Me Marina Kilchenmann (pour B.W.________),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