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223 vom 5. Mai 2025</w:t>
      </w:r>
    </w:p>
    <w:p>
      <w:r>
        <w:t>VD Tribunal cantonal, 2025-05-05, FR</w:t>
      </w:r>
    </w:p>
    <w:p>
      <w:r>
        <w:rPr>
          <w:b/>
        </w:rPr>
        <w:t xml:space="preserve">Quelle: </w:t>
      </w:r>
      <w:r>
        <w:t>https://mcp.opencaselaw.ch/entscheid/vd_findinfo_HC___2025___223</w:t>
      </w:r>
    </w:p>
    <w:p>
      <w:r>
        <w:t>FR: VD_FINDINFO HC / 2025 / 223 du 5 mai 2025</w:t>
      </w:r>
    </w:p>
    <w:p>
      <w:r>
        <w:t>IT: VD_FINDINFO HC / 2025 / 223 del 5 maggio 2025</w:t>
      </w:r>
    </w:p>
    <w:p>
      <w:pPr>
        <w:pStyle w:val="Heading2"/>
      </w:pPr>
      <w:r>
        <w:t>Regeste</w:t>
      </w:r>
    </w:p>
    <w:p>
      <w:r>
        <w:t>HYPOTHÈQUE LÉGALE DES ARTISANS ET ENTREPRENEURS, CRÉANCE, PREUVE FACILITÉE, REJET DE LA DEMANDE | 837 al. 1 ch. 3 CC, 839 CC, 961 al. 3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interjeté en temps utile par une partie qui a un intérêt digne de protection (art. 59 al. 2 let. a CPC) et portant sur des conclusions supérieures à 10’000 fr., l’appel, écrit et motivé (art. 311 al. 1 CPC), est recevable. La réponse, déposée en temps utile (art. 314 al. 1 CPC), est également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très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 De faux nova sont excusables lorsque le comportement de la partie adverse en première instance a permis de croire qu'il n'était pas nécessaire de les présenter ou lorsqu'un thème est abordé pour la première fois en appel (TF 5A_697/2020 du 22 mars 2021 consid. 3 non publié in ATF 147 III 491).</w:t>
      </w:r>
    </w:p>
    <w:p>
      <w:r>
        <w:rPr>
          <w:b/>
        </w:rPr>
        <w:t>E. 3.2</w:t>
      </w:r>
    </w:p>
    <w:p>
      <w:r>
        <w:t>En l’espèce, les pièces 1 à 5 du bordereau produit par l’appelante figuraient d’ores et déjà dans le dossier de première instance. En ce qui concerne les pièces 6 à 8, lesquelles se rapportent à des faits antérieurs à la décision entreprise, l’appelante invoque l’existence de pseudo- nova sous l’angle de l’art. 317 let. a et b CPC. La question de leur recevabilité peut toutefois souffrir de rester indécise, dès lors que lesdites pièces ne sont pas nécessaires ou pertinentes à la résolution des problématiques devant être examinées par la juge unique de céans.</w:t>
      </w:r>
    </w:p>
    <w:p>
      <w:r>
        <w:rPr>
          <w:b/>
        </w:rPr>
        <w:t>E. 4.1</w:t>
      </w:r>
    </w:p>
    <w:p>
      <w:r>
        <w:t>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27 décembre 2023/265bis consid. 3 ; CACI 18 octobre 2023/423 consid. 3.2 ; CACI 6 mars 2023/108 consid. 4.1).</w:t>
      </w:r>
    </w:p>
    <w:p>
      <w:r>
        <w:rPr>
          <w:b/>
        </w:rPr>
        <w:t>E. 4.2</w:t>
      </w:r>
    </w:p>
    <w:p>
      <w:r>
        <w:t>L’écriture de l’appelante contient un chapitre III intitulé « EN FAIT » qui résume les faits de la cause et de la procédure. Or, l’appelante se contente de présenter un état de fait sans faire la moindre allusion au jugement querellé et qu’elle n’accompagne d’aucun grief de constatation inexacte des faits. Il n’appartient pas à l’autorité de céans de comparer l’état de fait présenté par l’appelante et celui établi par les premiers juges pour y déceler d’éventuelles modifications. Aussi, cette partie du mémoire d’appel ne répond pas aux exigences légales et jurisprudentielles en matière de motivation et doit être déclarée irrecevable.</w:t>
      </w:r>
    </w:p>
    <w:p>
      <w:r>
        <w:rPr>
          <w:b/>
        </w:rPr>
        <w:t>E. 5</w:t>
      </w:r>
    </w:p>
    <w:p>
      <w:r>
        <w:t>L’appelante invoque une constatation inexacte des faits.</w:t>
      </w:r>
    </w:p>
    <w:p>
      <w:r>
        <w:rPr>
          <w:b/>
        </w:rPr>
        <w:t>E. 5.1.1</w:t>
      </w:r>
    </w:p>
    <w:p>
      <w:r>
        <w:t>S’agissant de savoir si la gratuité du devis initial était subordonnée au paiement d’un montant de 7'178 fr. 91, l'appelante s'indigne de l'accusation « à peine voilée » qu'elle ait pu commettre un faux dans les titres en falsifiant le devis. Elle relève que les intimés n'ont pas produit une autre version de ce même devis, en particulier une version qui comprendrait la signature de la société de l’intimé X.________ mais sans annotation manuscrite. Elle se prévaut encore de ses pièces nouvelles 6 à 8 pour démontrer la réalité de cette condition. Ces pièces consistent en la photo d’un ordre de paiement de 7'178 fr. 91 donné le 18 juillet 2024 par la société de l'intimé X.________ en faveur de l’appelante, à effectuer le 30 juillet 2024, un échange de messages sur Whatsapp dans lequel l'intimé X.________ envoie la photo de cet ordre de paiement le 18 juillet, puis remercie l’appelante avec une photo de la cuisine, après quoi l’appelante signale, le 31 juillet 2024, qu'elle n'a toujours pas reçu le montant de 7'178 fr. 91, ce à quoi l'intimé X.________ répond avoir des difficultés et avoir dû restructurer son entreprise. Pour leur part, les intimés soutiennent qu'il appartenait à l’appelante, laquelle avait allégué les faits de manière particulièrement confuse, de démontrer qu’ils avaient validé les annotations écrites figurant sur les deux devis produits sous pièce</w:t>
      </w:r>
    </w:p>
    <w:p>
      <w:r>
        <w:rPr>
          <w:b/>
        </w:rPr>
        <w:t>E. 5.1.2</w:t>
      </w:r>
    </w:p>
    <w:p>
      <w:r>
        <w:t>Au vu de ce qui précède, on peut admettre que l’appelante a rendu vraisemblable que les devis étaient soumis à condition, ce qui ne change néanmoins rien à la résolution de l’appel, comme on va le voir plus loin.</w:t>
      </w:r>
    </w:p>
    <w:p>
      <w:r>
        <w:rPr>
          <w:b/>
        </w:rPr>
        <w:t>E. 5.2.1</w:t>
      </w:r>
    </w:p>
    <w:p>
      <w:r>
        <w:t>L'appelante fait ensuite valoir que le devis et le « réel à exécuter » portaient bien sur le même objet. Elle invoque le numéro de dossier identique qui y figure, de même que sur la facture et le constat de fin de chantier. Cela montrerait aussi que le devis concernait bien l'immeuble des intimés.</w:t>
      </w:r>
    </w:p>
    <w:p>
      <w:r>
        <w:rPr>
          <w:b/>
        </w:rPr>
        <w:t>E. 5.2.2</w:t>
      </w:r>
    </w:p>
    <w:p>
      <w:r>
        <w:t>Avec l’appelante, il faut constater que le « réel à exécuter », le constat de fin de chantier et la facture portent en effet le même numéro de dossier que le devis n° 674885.</w:t>
      </w:r>
    </w:p>
    <w:p>
      <w:r>
        <w:rPr>
          <w:b/>
        </w:rPr>
        <w:t>E. 5.3.1</w:t>
      </w:r>
    </w:p>
    <w:p>
      <w:r>
        <w:t>L'appelante estime que le fait que le devis et le « réel à exécuter » ne portent pas sur les mêmes postes et montants serait sans pertinence, puisque tous deux auraient été signés par la société de l’intimé X.________. De même, selon elle, le fait que cette condition n'était inscrite que sur un document est sans objet, car cet accord portait sur l'ensemble des travaux. Les intimés soutiennent que la gratuité sans condition avait finalement été accordée pour tenir compte des années de collaboration entre protagonistes et du fait que l’appelante avait pu faire passer cette facture auprès de son fournisseur comme modèle d'exposition.</w:t>
      </w:r>
    </w:p>
    <w:p>
      <w:r>
        <w:rPr>
          <w:b/>
        </w:rPr>
        <w:t>E. 5.3.2</w:t>
      </w:r>
    </w:p>
    <w:p>
      <w:r>
        <w:t>On ne saurait suivre le raisonnement de l’appelante. Le « réel à exécuter » a été établi le 1 er juillet 2024, tandis que les devis ont été signés par la société de l'intimé X.________ le 24 juin précédent. Au 1 er juillet 2024, l’appelante ne peut prétendre avoir cru que la facture en souffrance avait été réglée, puisque ce n'est que le 18 juillet 2024 que l'intimé lui a envoyé l'image d'un ordre de paiement à effectuer pour le 30 juillet 2024. Même à admettre que devis et « réel à exécuter » portent sur les mêmes objets, on ne peut pas exclure que l’appelante ait ensuite changé d'avis et décidé de travailler gratuitement, et ce sans condition.</w:t>
      </w:r>
    </w:p>
    <w:p>
      <w:r>
        <w:rPr>
          <w:b/>
        </w:rPr>
        <w:t>E. 5.4.1</w:t>
      </w:r>
    </w:p>
    <w:p>
      <w:r>
        <w:t>L'appelante fait valoir qu'il n'est « pas contesté, pas même par le tribunal » que les travaux ont été effectués sur l'immeuble des intimés. Cela ressortirait du constat de fin de chantier et de la facture, comme de la photo envoyée par l'intimé X.________ à l’appelante (pièce 10 produite en première instance). Les intimés relèvent que leur immeuble est sis [...], à [...], tandis que les devis mentionnent manuscritement des adresses différentes, notamment la [...], à [...]. De même, le constat de fin de chantier ne comportait pas de lieu d'exécution.</w:t>
      </w:r>
    </w:p>
    <w:p>
      <w:r>
        <w:rPr>
          <w:b/>
        </w:rPr>
        <w:t>E. 5.4.2</w:t>
      </w:r>
    </w:p>
    <w:p>
      <w:r>
        <w:t>En l’espèce, il y a lieu de retenir, sous l’angle de la vraisemblance, tant l’exécution des travaux, vu la photo et les remerciements envoyés par l'intimé, que le fait qu'ils ont été exécutés à l’[...], à [...], puisque cela figure sur le « réel à exécuter », le constat de fin de chantier et la facture. A cet égard, il est vrai que les devis comportent l'adresse de [...] dont on comprend que c'est celle de la société de l'intimé X.________, au nom de laquelle les devis ont été signés, mais une annotation manuscrite au bas des devis précise bien que l'adresse de la mesure est [...], à [...].</w:t>
      </w:r>
    </w:p>
    <w:p>
      <w:r>
        <w:rPr>
          <w:b/>
        </w:rPr>
        <w:t>E. 6</w:t>
      </w:r>
    </w:p>
    <w:p>
      <w:r>
        <w:t>Selon eux, la seule pièce probante est le « réel à exécuter » établi le 1 er juillet 2024, soit après les devis, qui mentionne clairement une remise de 100 % sans condition.</w:t>
      </w:r>
    </w:p>
    <w:p>
      <w:r>
        <w:rPr>
          <w:b/>
        </w:rPr>
        <w:t>E. 6.1</w:t>
      </w:r>
    </w:p>
    <w:p>
      <w:r>
        <w:t>L’appelante fait valoir que l'inscription provisoire ne doit être refusée que si l'existence du droit à l'inscription paraît exclue ou hautement invraisemblable. Elle soutient que, sous l’angle de la vraisemblance, le premier juge aurait dû retenir que les pièces au dossier constituaient des indices suffisants de l’existence de sa créance contre les intimés et maintenir, sur cette base, l’inscription provisoire. Le premier juge aurait, au pire, dû considérer être en présence d'une situation de fait mal élucidée et laisser le juge du fond décider.</w:t>
      </w:r>
    </w:p>
    <w:p>
      <w:r>
        <w:rPr>
          <w:b/>
        </w:rPr>
        <w:t>E. 6.2</w:t>
      </w:r>
    </w:p>
    <w:p>
      <w:r>
        <w:t>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(parmi d'autres : CACI 22 mai 2024/224 consid. 3. 2.2 et les réf. citées). L’inscription ne doit être refusée, selon le Tribunal fédéral, que si le droit à l’hypothèque des artisans et entrepreneurs n’existe manifestement pas (TF 5D_116/2014 du 13 octobre 2014 consid. 5.3) ou si cette existence apparaît exclue ou hautement invraisemblable (TF 5A_475/2010 du 15 septembre 2010 consid. 3.1.2). Conformément à l'art. 961 al. 3 CC, le juge statue – en procédure sommaire (art. 249 let. d ch. 5 CPC) – sur la requête et autorise l'inscription provisoire si le droit allégué lui paraît exister, mais une certaine marge d'appréciation lui est laissée.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la 81 consid. 2b/bb ; ATF 86 l 265 consid. 3 ; parmi plusieurs : TF 5A_203/2023 du 30 août 2023 consid. 4. 1.2 et les nombreuses réf. citées). Il en résulte qu'à moins que le droit à la constitution de l'hypothèque n'existe clairement pas, le juge qui en est requis doit ordonner l'inscription provisoire (ATF 102 la 81 consid. 2b/bb ; TF 5A_203/2023 précité et les réf. citées ; sur le tout : TF 5A_658/2023 du 17 janvier 2024 consid. 4. 1).</w:t>
      </w:r>
    </w:p>
    <w:p>
      <w:r>
        <w:rPr>
          <w:b/>
        </w:rPr>
        <w:t>E. 6.3</w:t>
      </w:r>
    </w:p>
    <w:p>
      <w:r>
        <w:t>En l'occurrence, le « réel à exécuter » postérieur aux devis, qui comporte un rabais inconditionnel de 100 %, sans aucune annotation manuscrite sujette à controverse, doit forcément prendre le pas sur les devis. L'appelante ne fournit aucune explication pour laquelle ce réel ne mentionne aucune condition, se contentant d'alléguer avoir établi un « réel » portant sur le montant HT de 11'714 fr. 36 et passant même sous silence le rabais de 100 % qui y figure, dactylographié, cette fois. C'est à juste titre que le premier juge a estimé que l’existence de la créance n'était pas rendue vraisemblable. Les griefs de l’appelante sont donc mal fondés.</w:t>
      </w:r>
    </w:p>
    <w:p>
      <w:r>
        <w:rPr>
          <w:b/>
        </w:rPr>
        <w:t>E. 7.1</w:t>
      </w:r>
    </w:p>
    <w:p>
      <w:r>
        <w:t>En définitive, l’appel doit être rejeté et l’ordonnance de mesures provisionnelles confirmée. Il y a lieu de préciser que la mention figurant dans le dispositif de l'ordonnance confirmée, laquelle prévoit la radiation de l’inscription provisoire « dès la présente ordonnance devenue définitive », doit être comprise en ce sens que le Conservateur du Registre foncier ne doit pas procéder à la radiation ordonnée avant l'échéance du délai de recours au Tribunal fédéral contre l'arrêt. En cas de recours au Tribunal fédéral, la radiation ne doit pas être opérée avant droit connu sur ce recours, alors même que le présent arrêt est déclaré immédiatement exécutoire.</w:t>
      </w:r>
    </w:p>
    <w:p>
      <w:r>
        <w:rPr>
          <w:b/>
        </w:rPr>
        <w:t>E. 7.2</w:t>
      </w:r>
    </w:p>
    <w:p>
      <w:r>
        <w:t>Au vu de l’issue de l’appel, les frais judiciaires de deuxième instance, arrêtés à 800 fr. (art. 65 al. 1 TFJC [tarif des frais judiciaires civils du 28 septembre 2010 ; BLV 270.11.5]), seront mis à la charge de l’appelante, qui succombe (art. 106 al. 1 CPC). L’appelante versera en outre aux intimés, solidairement entre eux, des dépens de deuxième instance qui seront arrêtés à 500 fr. (art. 3 al. 2 et art. 12 TDC [tarif des dépens en matière civile du 23 novembre 2010 ; BLV 270.11.6]). Par ces motifs, la Juge unique de la Cour d’appel civile prononce : I. L’appel est rejeté. II. L’ordonnance est confirmée. III. Les frais judiciaires de deuxième instance, arrêtés à 800 fr. (huit cents francs), sont mis à la charge de l’appelante L.________ Sàrl. IV. L’appelante L.________ Sàrl versera aux intimés X.________ et F.________, solidairement entre eux, un montant de 500 fr. (cinq cents francs) à titre de dépens de deuxième instance. V. L’arrêt est exécutoire. La juge unique :               La greffière : Du Le présent arrêt, dont la rédaction a été approuvée à huis clos, est notifié en expédition complète à : ‑ M. Julien Greub, aab (pour L.________ Sàrl), ‑ Me Raphaël Zouzout (pour X.________ et F.________), et communiqué, par l'envoi de photocopies, à : ‑ M. le Président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