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122 vom 19. Februar 2025</w:t>
      </w:r>
    </w:p>
    <w:p>
      <w:r>
        <w:t>VD Tribunal cantonal, 2025-02-19, FR</w:t>
      </w:r>
    </w:p>
    <w:p>
      <w:r>
        <w:rPr>
          <w:b/>
        </w:rPr>
        <w:t xml:space="preserve">Quelle: </w:t>
      </w:r>
      <w:r>
        <w:t>https://mcp.opencaselaw.ch/entscheid/vd_findinfo_HC___2025___122</w:t>
      </w:r>
    </w:p>
    <w:p>
      <w:r>
        <w:t>FR: VD_FINDINFO HC / 2025 / 122 du 19 février 2025</w:t>
      </w:r>
    </w:p>
    <w:p>
      <w:r>
        <w:t>IT: VD_FINDINFO HC / 2025 / 122 del 19 febbraio 2025</w:t>
      </w:r>
    </w:p>
    <w:p>
      <w:pPr>
        <w:pStyle w:val="Heading2"/>
      </w:pPr>
      <w:r>
        <w:t>Regeste</w:t>
      </w:r>
    </w:p>
    <w:p>
      <w:r>
        <w:t>EFFET SUSPENSIF, OBLIGATION D'ENTRETIEN, REJET DE LA DEMANDE | 315 al. 2 let. b CPC (CH), 315 al. 4 let. b CPC (CH)</w:t>
      </w:r>
    </w:p>
    <w:p>
      <w:pPr>
        <w:pStyle w:val="Heading2"/>
      </w:pPr>
      <w:r>
        <w:t>Volltext</w:t>
      </w:r>
    </w:p>
    <w:p>
      <w:r>
        <w:t>Vaud Tribunal cantonal Cour d'appel civile HC / 2025 / 122</w:t>
      </w:r>
    </w:p>
    <w:p>
      <w:r>
        <w:t>EFFET SUSPENSIF, OBLIGATION D'ENTRETIEN, REJET DE LA DEMANDE | 315 al. 2 let. b CPC (CH), 315 al. 4 let. b CPC (CH)</w:t>
      </w:r>
    </w:p>
    <w:p>
      <w:r>
        <w:t>TRIBUNAL CANTONAL JI23.052589-250189 ES1313 cour d’appel CIVILE ____________________________ Ordonnance du 19 février 2025 ________________________________ Composition :               Mme Elkaim , juge unique Greffier :              M. Klay ***** Art. 315 al. 2 let. b et al. 4 let. b CPC Statuant sur la requête présentée par N.________ , à [...] (GE), tendant à l’octroi de l’effet suspensif à l’appel qu’il a interjeté contre l’ordonnance de mesures provisionnelles rendue le 4 février 2025 par le Président du Tribunal civil de l’arrondissement de La Côte dans la cause le divisant d’avec H.________ , à [...] (VS), la Juge unique de la Cour d’appel civile du Tribunal cantonal considère : En fait et en droit : 1. H.________ (ci-après : l’intimée), née le [...] 1995, et N.________ (ci-après : le requérant), né le [...] 1991, sont les parents non mariés de l'enfant B.________, né le [...] 2023 à [...] (VD). 2. 2.1 Par requête du 20 novembre 2023, l’intimée a agi à l’encontre du requérant et pris des conclusions tendant à la fixation des droits parentaux et contribution d’entretien en faveur de l’enfant B.________. Dans une convention signée en audience du 5 février 2024, ratifiée séance tenante par le Président du Tribunal civil de l’arrondissement de La Côte (ci-après : le président) pour valoir ordonnance de mesures provisionnelles, les parties sont notamment convenues de confier la garde de l’enfant à l’intimée, des modalités du droit de visite paternel et du fait qu’à titre provisoire, compte tenu de la situation financière déficitaire du requérant, il était constaté que ce dernier n’était pas en mesure de contribuer à l’entretien de son fils B.________, l’intimée réservant ses droits s’agissant de la contribution d’entretien pour l’enfant. 2.2 Par requête de mesures provisionnelles du 14 octobre 2024, le requérant a notamment conclu à ce qu’il soit constaté qu’il ne pouvait pas s’acquitter d’une contribution d’entretien en faveur de B.________ et à ce que l’entretien convenable de ce dernier soit fixé 534 fr. 56, allocations familiales non déduites. Dans des déterminations du 6 novembre 2024, l’intimée a notamment conclu au rejet des conclusions du requérant et à ce que celui-ci soit condamné à verser au titre de contribution à l’entretien de B.________, dès le 1 er juillet 2023, par mois d’avance, allocations familiales en sus, en ses mains, le montant de 500 francs. Par ordonnance partielle de mesures provisionnelles du 21 novembre 2024, le président a en substance fixé les modalités du droit de visite du requérant et dit que la question financière serait traitée dans une ordonnance de mesures provisionnelles séparée. 3. Par ordonnance de mesures provisionnelles du 4 février 2025, le président a notamment dit que le requérant contribuerait à l'entretien de son enfant B.________ par le régulier versement d'une pension de 615 fr., allocations familiales dues en sus, payable d'avance le premier de chaque mois en mains de l’intimée, dès et y compris le 1 er jour du troisième mois dès cette ordonnance devenue exécutoire (I), a renvoyé la décision sur l'indemnité d'office du conseil du requérant à une décision ultérieure (II), a dit que la décision sur la répartition des frais judiciaires, arrêtés à 400 fr., et des dépens de l’ordonnance de mesures provisionnelles était renvoyée à la décision finale (III) et a rejeté toutes autres ou plus amples conclusions prises à titre provisionnel (IV). 4. Par acte du 17 février 2025, N.________ a interjeté appel contre cette ordonnance, concluant, avec suite de frais et dépens, en substance à la réforme des chiffres I et IV de son dispositif en ce sens qu’il est constaté qu’il ne peut pas s’acquitter d’une contribution d’entretien en faveur de B.________ et qu’il est dispensé de verser une telle contribution d’entretien, l’ordonnance entreprise étant confirmée pour le surplus. Préalablement, il a requis l’octroi de l’effet suspensif à l’appel en tant qu’il est dirigé contre le chiffre I du dispositif de l’ordonnance contestée. Il a produit un bordereau de cinq pièces. 5. 5.1 5.1.1 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5.1.2 5.1.2.1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 TF 5A_67/2021 du 31 août 2021 consid. 4.1). 5.1.2.2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5.2 Le requérant fait valoir qu’il est vraisemblable qu’il risquerait de subir un préjudice difficilement réparable si l’ordonnance querellée « devait devenir exécutoire durant la procédure d’appel », de sorte qu’il serait fondé à solliciter l’octroi de l’effet suspensif. En particulier, il argue être dans l’incapacité de s’acquitter des montants de contributions d’entretien qu’il a été condamné à verser, de sorte qu’il pourrait faire l’objet de poursuites de la part de l’intimée lorsque le « court » délai d’adaptation de trois mois serait écoulé, ce qui serait de nature à péjorer d’autant sa situation personnelle délicate. 5.3 Conformément à la loi et la jurisprudence précitées, les mesures provisionnelles sont en principe exécutoires, sauf exception ; le refus de l’effet suspensif ne cause en règle générale pas de préjudice difficilement réparable à celui qui est condamné à payer les pensions courantes. Or, in casu , il ne saurait y avoir matière à exception, dès lors que les pensions concernées par la requête d’effet suspensif ne sont même pas courantes, mais uniquement futures. En effet, ainsi que cela ressort du chiffre I du dispositif de l’ordonnance attaquée et comme reconnu par le requérant lui-même, la contribution d’entretien contestée ne sera due par l’intéressé que dès et y compris le 1 er jour du troisième mois dès l’ordonnance devenue exécutoire. Faute d’urgence, le requérant ne saurait ainsi se prévaloir d’un préjudice difficilement réparable à ce stade, de sorte qu’il ne se justifie pas d’accorder l’effet suspensif à l’appel. Partant, l’effet suspensif doit être refusé, sans plus ample analyse. 6. 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Le greffier : Du La présente ordonnance, dont la rédaction a été approuvée à huis clos, est notifiée à : ‑ Me Céline Coquoz (pour N.________), ‑ Me José Carlos Coret (pour H.________),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