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986 vom 16. Dezember 2024</w:t>
      </w:r>
    </w:p>
    <w:p>
      <w:r>
        <w:t>VD Tribunal cantonal, 2024-12-16, FR</w:t>
      </w:r>
    </w:p>
    <w:p>
      <w:r>
        <w:rPr>
          <w:b/>
        </w:rPr>
        <w:t xml:space="preserve">Quelle: </w:t>
      </w:r>
      <w:r>
        <w:t>https://mcp.opencaselaw.ch/entscheid/vd_findinfo_HC___2024___986</w:t>
      </w:r>
    </w:p>
    <w:p>
      <w:r>
        <w:t>FR: VD_FINDINFO HC / 2024 / 986 du 16 décembre 2024</w:t>
      </w:r>
    </w:p>
    <w:p>
      <w:r>
        <w:t>IT: VD_FINDINFO HC / 2024 / 986 del 16 dicembre 2024</w:t>
      </w:r>
    </w:p>
    <w:p>
      <w:pPr>
        <w:pStyle w:val="Heading2"/>
      </w:pPr>
      <w:r>
        <w:t>Regeste</w:t>
      </w:r>
    </w:p>
    <w:p>
      <w:r>
        <w:t>EXÉCUTION FORCÉE, EXPULSION DE LOCATAIRE, SUSPENSION DE LA PROCÉDURE | 337 al. 2 CPC (CH), 341 CPC (CH), 70 CPC (CH)</w:t>
      </w:r>
    </w:p>
    <w:p>
      <w:pPr>
        <w:pStyle w:val="Heading2"/>
      </w:pPr>
      <w:r>
        <w:t>Erwägungen</w:t>
      </w:r>
    </w:p>
    <w:p>
      <w:r>
        <w:rPr>
          <w:b/>
        </w:rPr>
        <w:t>E. 6</w:t>
      </w:r>
    </w:p>
    <w:p>
      <w:r>
        <w:t>juin 2018 consid. 6 ; TF 4A_232/2018 du 23 mai 2015 consid. 7). Un délai d'un mois pour l'exécution forcée a été jugé admissible tant sous l'ancien droit que le nouveau droit (CREC 4 janvier 2023/1 consid. 3.2.3 ; CREC 30 novembre 2021/327 consid. 3.2.2 ; CREC 29 juin 2020/153 consid. 3.1 ; Guignard, Procédures spéciales vaudoises, Lausanne 2008, n. 3 ad art. 21 aLPEBL [loi sur la procédure d'expulsion en matière de baux à loyer et à ferme du 18 mai 1955, abrogée au 1 er janvier 2011], p. 203 et les réf. cit.). Un délai de trois semaines a également été jugé admissible (CREC 26 juin 2024/164 consid. 9.1 ; CREC 10 juin 2021/169 consid. 3.2). Une requête de suspension de l'exécution au sens de l'art. 337 al. 2 CPC peut être déposée jusqu'au terme des mesures d'exécution forcée (Droese, in Spühler et al. [édit.], Basler Kommentar, Schweizerische Zivilprozessordnung, 4 e éd., Bâle 2025, n. 21 ad art. 337 CPC). Vu le renvoi de l'art. 337 al. 2 CPC à l'art. 341 CPC, seuls de vrais nova pourront être pris en compte (art. 341 al. 3 CPC), soit des faits survenus postérieurement au jour où la décision a été rendue et faisant obstacle à son exécution (CREC 20 septembre 2024/225 consid. 6.2 ; CREC 26 juin 2024/164 consid. 9.1 ; CREC 29 juin 2020/153 consid. 3.1). 7.3 En l’espèce, les faits invoqués par les recourants à l’appui de leur recours ne sont pas postérieurs à l’ordonnance attaquée, ils ne constituent donc pas de vrais nova et ne sauraient être pris en compte. De plus, l’ordonnance d’expulsion du 5 août 2024 est définitive et exécutoire, ce qui n’est pas contesté. Dans ces conditions, les moyens invoqués par les recourants ayant trait aux difficultés pratiques pour quitter l’appartement ne sont pas de nature à permettre l’admission du recours, dès lors qu'ils n'ont pas pour conséquence l'extinction de la prétention à exécuter au sens de l'art. 341 al. 3 CPC. Enfin, le principe de proportionnalité est respecté puisque l’ordonnance d’expulsion du 5 août 2024 fixait un délai au 26 août 2024 de sorte qu’à ce jour, les recourants ont bénéficié d’un délai suffisamment long, soit de près de quatre mois. Il y a également lieu de relever que la date du 6 janvier 2025 est connue depuis le 29 novembre 2024, ce qui a amplement laissé le temps aux locataires de s'organiser, étant précisé que la requête d’expulsion date du 1 er mai 2024. Ainsi, il ne se justifie pas de reporter davantage l’expulsion.</w:t>
      </w:r>
    </w:p>
    <w:p>
      <w:r>
        <w:rPr>
          <w:b/>
        </w:rPr>
        <w:t>E. 8</w:t>
      </w:r>
    </w:p>
    <w:p>
      <w:r>
        <w:t>Au vu de ce qui précède, le recours, manifestement mal fondé, doit être rejeté en application de l’art. 322 al. 1 in fine CPC et l’ordonnance d’exécution forcée confirmée. Il ne sera pas perçu de frais judiciaires de deuxième instance (art. 11 TFJC [tarif des frais judiciaires civils du 28 septembre 2010 ; BLV 270.11.5]). Il n’y a pas lieu à l’allocation de dépens, les intimés n’ayant pas été invités à se déterminer. Par ces motifs, la Chambre des recours civile du Tribunal cantonal, en application de l'art. 322 al. 1 CPC, prononce : I. Le recours est rejeté. II. L’ordonnance d’exécution forcée est confirmée. III. L’arrêt, rendu sans frais, est exécutoire. La présidente :               Le greffier : Du L'arrêt qui précède, dont la rédaction a été approuvée à huis clos, est notifié à : ‑ Mme B.________ (personnellement), ‑ M. A.M.________ (personnellement), ‑ M. B.M.________ (personnellement), ‑ M. Thierry Zumbach, aab (pour A.D.________ et B.D.________).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