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966 vom 6. Dezember 2024</w:t>
      </w:r>
    </w:p>
    <w:p>
      <w:r>
        <w:t>VD Tribunal cantonal, 2024-12-06, FR</w:t>
      </w:r>
    </w:p>
    <w:p>
      <w:r>
        <w:rPr>
          <w:b/>
        </w:rPr>
        <w:t xml:space="preserve">Quelle: </w:t>
      </w:r>
      <w:r>
        <w:t>https://mcp.opencaselaw.ch/entscheid/vd_findinfo_HC___2024___966</w:t>
      </w:r>
    </w:p>
    <w:p>
      <w:r>
        <w:t>FR: VD_FINDINFO HC / 2024 / 966 du 6 décembre 2024</w:t>
      </w:r>
    </w:p>
    <w:p>
      <w:r>
        <w:t>IT: VD_FINDINFO HC / 2024 / 966 del 6 dicembre 2024</w:t>
      </w:r>
    </w:p>
    <w:p>
      <w:pPr>
        <w:pStyle w:val="Heading2"/>
      </w:pPr>
      <w:r>
        <w:t>Regeste</w:t>
      </w:r>
    </w:p>
    <w:p>
      <w:r>
        <w:t>OBSERVATION DU DÉLAI, RETARD, DÉCISION D'IRRECEVABILITÉ | 142 al. 1 CPC (CH), 143 al. 1 CPC (CH)</w:t>
      </w:r>
    </w:p>
    <w:p>
      <w:pPr>
        <w:pStyle w:val="Heading2"/>
      </w:pPr>
      <w:r>
        <w:t>Erwägungen</w:t>
      </w:r>
    </w:p>
    <w:p>
      <w:r>
        <w:rPr>
          <w:b/>
        </w:rPr>
        <w:t>E. 6</w:t>
      </w:r>
    </w:p>
    <w:p>
      <w:r>
        <w:t>décembre 2024 __________________ Composition :               Mme Cherpillod , présidente Mmes Crittin Dayen et Courbat, juges Greffière :              Mme Vouilloz ***** Art. 142 al. 1 et 143 al. 1 CPC Statuant à huis clos sur le recours interjeté par M.________ , à [...], contre la décision rendue le 29 octobre 2024 par la Vice-présidente du Tribunal de prud’hommes de l’arrondissement de la Broye et du Nord vaudois dans la cause divisant le recourant d’avec N.________ Sàrl , au [...], la Chambre des recours civile du Tribunal cantonal considère : En fait et en droit : 1. Par décision du 29 octobre 2024, la Vice-présidente du Tribunal de prud’hommes de l’arrondissement de la Broye et du Nord vaudois a rejeté les conclusions prises par M.________ au pied de sa requête du 26 juillet 2024 (I) et a dit que la décision était rendue sans frais judiciaires (II). 2. Par acte daté du 29 novembre 2024, mais remis à la Poste le 30 novembre 2024, M.________ (ci-après : le recourant) a interjeté recours contre cette décision. 3. 3.1 Le recours est recevable contre les décisions finales de première instance qui ne peuvent pas faire l’objet d’un appel (art. 319 let. a CPC [Code de procédure civile du 19 décembre 2008 ; RS 272]). Il en va ainsi, notamment, dans les affaires patrimoniales, lorsque la valeur litigieuse au dernier état des conclusions est inférieure à 10'000 fr. (art. 308 al. 2 CPC). Conformément à l’art. 321 al. 1 CPC, le recours, écrit et motivé, doit être introduit auprès de l’instance de recours, soit en l’occurrence la Chambre des recours civile (art. 73 al. 1 LOJV [loi d’organisation judiciaire du 12 décembre 1979 ; BLV 173.01]), dans les trente jours à compter de la notification de la décision motivée ou de la notification postérieure de la motivation (art. 239 al. 1 CPC). 3.2 Les délais déclenchés par la communication ou la survenance d’un événement courent dès le lendemain de celles-ci (art. 142 al. 1 CPC), même si ce jour est un samedi ou un dimanche, seul le dernier jour du délai concerné étant visé par la règle de l’art. 142 al. 3 CPC (TF 5A_976/2021 du 2 décembre 2021 consid. 3 ; TF 5D_7/2020 du</w:t>
      </w:r>
    </w:p>
    <w:p>
      <w:r>
        <w:rPr>
          <w:b/>
        </w:rPr>
        <w:t>E. 11</w:t>
      </w:r>
    </w:p>
    <w:p>
      <w:r>
        <w:t>TFJC [tarif des frais judiciaires civils du 28 septembre 2010 ; BLV 270.11.5]) Il n’y a pas lieu à l’allocation de dépens de deuxième instance dès lors que N.________ Sàrl n’a pas été invitée à se déterminer sur le recours.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 M.________, ‑ N.________ Sàrl.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