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871 vom 2. Oktober 2024</w:t>
      </w:r>
    </w:p>
    <w:p>
      <w:r>
        <w:t>VD Tribunal cantonal, 2024-10-02, FR</w:t>
      </w:r>
    </w:p>
    <w:p>
      <w:r>
        <w:rPr>
          <w:b/>
        </w:rPr>
        <w:t xml:space="preserve">Quelle: </w:t>
      </w:r>
      <w:r>
        <w:t>https://mcp.opencaselaw.ch/entscheid/vd_findinfo_HC___2024___871</w:t>
      </w:r>
    </w:p>
    <w:p>
      <w:r>
        <w:t>FR: VD_FINDINFO HC / 2024 / 871 du 2 octobre 2024</w:t>
      </w:r>
    </w:p>
    <w:p>
      <w:r>
        <w:t>IT: VD_FINDINFO HC / 2024 / 871 del 2 ottobre 2024</w:t>
      </w:r>
    </w:p>
    <w:p>
      <w:pPr>
        <w:pStyle w:val="Heading2"/>
      </w:pPr>
      <w:r>
        <w:t>Regeste</w:t>
      </w:r>
    </w:p>
    <w:p>
      <w:r>
        <w:t>ASSISTANCE JUDICIAIRE, HONORAIRES, DROIT D'ÊTRE ENTENDU | 110 CPC (CH), 319 let. b ch. 1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les frais qui ne peut être attaquée séparément que par un recours selon l'art. 110 CPC (TF 5A_120/2016 du 26 mai 2016 consid. 2.1 ; CREC 24 avril 2024/109 ; CREC 3 avril 2024/95 ; Tappy, Commentaire romand, Code de procédure civile [ci-après : CR-CPC],</w:t>
      </w:r>
    </w:p>
    <w:p>
      <w:r>
        <w:rPr>
          <w:b/>
        </w:rPr>
        <w:t>E. 1.2</w:t>
      </w:r>
    </w:p>
    <w:p>
      <w:r>
        <w:t>En l'espèce, écrit, motivé et formé en temps utile par une partie disposant d’un intérêt digne de protection (art. 59 al. 2 let. a CPC), le recours est recevable.</w:t>
      </w:r>
    </w:p>
    <w:p>
      <w:r>
        <w:rPr>
          <w:b/>
        </w:rPr>
        <w:t>E. 2</w:t>
      </w:r>
    </w:p>
    <w:p>
      <w:r>
        <w:t>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5A_706/2018 du 11 janvier 2019 consid. 1.3 ; Tappy, op. cit. , n. 22 ad art. 122 CPC).</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w:t>
      </w:r>
    </w:p>
    <w:p>
      <w:r>
        <w:rPr>
          <w:b/>
        </w:rPr>
        <w:t>E. 2.2</w:t>
      </w:r>
    </w:p>
    <w:p>
      <w:r>
        <w:t>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22 août 2022/199 consid. 2.2). En l’espèce, la recourante a produit des pièces sous bordereau. Dès lors que ces pièces figurent au dossier de première instance, elles sont recevables.</w:t>
      </w:r>
    </w:p>
    <w:p>
      <w:r>
        <w:rPr>
          <w:b/>
        </w:rPr>
        <w:t>E. 3.1</w:t>
      </w:r>
    </w:p>
    <w:p>
      <w:r>
        <w:t>Dans un premier grief, la recourante fait valoir implicitement une violation du droit d’être entendue sous l’angle d’une motivation déficiente de la part de la présidente au sujet de la réduction de ses honoraires. Celle-ci aurait arbitrairement réduit de 10 heures le temps consacré aux opérations liées à l’élaboration de la réponse, cela « sans fournir de motivation adéquate », et n’aurait pas fourni de « précisions concrètes » relatives à cette réduction.</w:t>
      </w:r>
    </w:p>
    <w:p>
      <w:r>
        <w:rPr>
          <w:b/>
        </w:rPr>
        <w:t>E. 3.2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les réf. citées). En procédure civile, le droit d'être entendu est concrétisé à l'art. 53 CPC.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afin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 Ainsi, doit être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civile, qui ne dispose pas du même pouvoir de cognition que le premier juge (cf. art. 320 let. b CPC ; CREC 4 juillet 2019/362 ; CREC 28 mars 2018/105 consid. 3.2).</w:t>
      </w:r>
    </w:p>
    <w:p>
      <w:r>
        <w:rPr>
          <w:b/>
        </w:rPr>
        <w:t>E. 3.3</w:t>
      </w:r>
    </w:p>
    <w:p>
      <w:r>
        <w:t>En l’espèce, la recourante invoque en vain une violation de son droit d’être entendue. La décision attaquée répertorie de manière précise, par dates, les opérations objets de la réduction du temps consacré au mandat d’office, estimant le temps excessif pour la rédaction d’une réponse. La décision apparaît ainsi parfaitement et suffisamment motivée et répond donc aux exigences jurisprudentielles précitées.</w:t>
      </w:r>
    </w:p>
    <w:p>
      <w:r>
        <w:rPr>
          <w:b/>
        </w:rPr>
        <w:t>E. 4.1</w:t>
      </w:r>
    </w:p>
    <w:p>
      <w:r>
        <w:t>Dans un second grief, la recourante invoque que la réduction n’était pas justifiée, au motif que la présidente n’aurait pas pris en compte « la nature complexe de l’affaire et le volume considérable de l’écriture ». La recourante aurait entrepris des démarches hors tribunal, telles que la collecte de nombreuses déterminations au vu du contenu de l’écriture, la rédaction d’au moins trois versions différentes d’écriture, modifiées à chaque fois sur demande de la cliente, en fonction de la stratégie adoptée. Elle aurait ainsi déployé des « efforts essentiels » pour assurer une défense efficace. Par ailleurs, elle aurait affronté « une série d’obstacles imprévus et particulièrement complexes », ce qui aurait nécessité des « ajustements stratégiques incessants ». Elle se prévaut aussi de ce que sa cliente a validé la liste des opérations et ainsi exprimé son soutien aux démarches entreprises dans le cadre de sa défense d’office. La recourante rappelle que la réponse fait 38 pages et ne serait pas excessive au regard des allégués et arguments présentés dans la demande.</w:t>
      </w:r>
    </w:p>
    <w:p>
      <w:r>
        <w:rPr>
          <w:b/>
        </w:rPr>
        <w:t>E. 4.2</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 TF 5D_118/2021 du 15 octobre 2021 consid. 5.1.1, précité, consid. 5.1.3 ; TF 5D_4/2018 du 17 avril 2018 consid. 3.4.2 ; CREC du 19 septembre 2024/223).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TF 5A_82/2018 du 17 avril 2018, précité, consid. 6.2.2). L'avocat doit toutefois bénéficier d'une marge d'appréciation suffisante pour déterminer l'importance du travail qu'exige l'affaire (TF 5A_10/2018 du 17 avril 2018 consid. 3.2.2.3, RSPC 2018 p. 370 ; TF 5D_149/2016 du 30 janvier 2017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temps indiqué pour la rédaction de mémos ou d'avis de transmission ne peut être pris en compte à titre d'activité déployée par l'avocat, s'agissant de pur travail de secrétariat.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Il est admissible de considérer que les opérations correspondent à l’envoi de courriels – ou, comme en l’espèce, de courriers – au client le même jour qu’un courrier à la partie adverse et/ou au tribunal, toutes comptabilisées de manière forfaitaire à 12 minutes, constituent manifestement des mémos non facturables (CREC 9 novembre 2023/231 consid. 3.2.2 et réf. citées ; CREC 6 novembre 2023/2028 consid. 3.2.2 ; CREC 16 août 2022/189 consid. 3.2.1). C'est à l'avocat d'office de démontrer que les opérations pour lesquelles il entend être indemnisé étaient justifiées, quitte à fournir une note explicative avec sa note de frais (CREC 6 novembre 2023/228 consid. 3.3.2). A cet égard, la jurisprudence fédérale expose expressément que, si l’avocat d’office présente une note de frais et honoraires, le droit d’être entendu garanti par l’art. 29 al. 2 Cst. féd. n’oblige pas l’autorité à lui donner, dans chaque cas, l’occasion de fournir des explications ultérieures et qu’il n’est, en principe, pas violé ci celle-là réduit la créance des honoraires de l’avocat sans audition complémentaire (TF 5D_31/2022 du 11 août 2022 consid. 6.2 et réf citées).</w:t>
      </w:r>
    </w:p>
    <w:p>
      <w:r>
        <w:rPr>
          <w:b/>
        </w:rPr>
        <w:t>E. 4.3</w:t>
      </w:r>
    </w:p>
    <w:p>
      <w:r>
        <w:t>En l’espèce, au vu de la jurisprudence précitée, il incombait à la recourante de démontrer à la présidente que la rédaction de l’écriture litigieuse était d’une complexité telle qu’elle nécessitait plus de 20 heures de travail. Or, même dans son recours, la recourante se limite à exposer qu’elle a été confrontée à des obstacles imprévus et complexes, sans pour autant les décrire concrètement, de sorte que l’on ne sait pas en quoi ces obstacles consistaient réellement et en quoi ils étaient indispensables pour les « ajustements stratégiques incessants » invoqués. Contrairement à ce que semble plaider la recourante, la première juge n’a réduit de moitié que le temps consacré à la rédaction de la réponse et a maintenu à raison de quelque 6 heures le temps consacré pour les autres opérations annoncées, soit les entretiens avec la cliente, ainsi que les divers courriers envoyés au tribunal et courriels adressés à la cliente simultanément, dont la plupart paraissent plutôt relever d’un travail de secrétariat et constituer des mémos non facturables. En définitive, la recourante ne plaide aucun élément qui permette de s’écarter de l’appréciation de la présidente.</w:t>
      </w:r>
    </w:p>
    <w:p>
      <w:r>
        <w:rPr>
          <w:b/>
        </w:rPr>
        <w:t>E. 5</w:t>
      </w:r>
    </w:p>
    <w:p>
      <w:r>
        <w:t>En définitive, le recours doit être rejeté et la décision confirmée. Vu l’issue du recours, les frais judiciaires de deuxième instance, arrêtés à 200 fr. (art. 69 al. 1 et 70 al. 3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200 fr. (deux cents francs), sont à mis à la charge de la recourante J.________. IV. L’arrêt est exécutoire. La présidente : La greffière : Du L'arrêt qui précède est notifié en expédition complète, par l'envoi de photocopies, à : ‑ Me J.________, av., ‑ Mme A.N.________,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