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864 vom 28. Oktober 2024</w:t>
      </w:r>
    </w:p>
    <w:p>
      <w:r>
        <w:t>VD Tribunal cantonal, 2024-10-28, FR</w:t>
      </w:r>
    </w:p>
    <w:p>
      <w:r>
        <w:rPr>
          <w:b/>
        </w:rPr>
        <w:t xml:space="preserve">Quelle: </w:t>
      </w:r>
      <w:r>
        <w:t>https://mcp.opencaselaw.ch/entscheid/vd_findinfo_HC___2024___864</w:t>
      </w:r>
    </w:p>
    <w:p>
      <w:r>
        <w:t>FR: VD_FINDINFO HC / 2024 / 864 du 28 octobre 2024</w:t>
      </w:r>
    </w:p>
    <w:p>
      <w:r>
        <w:t>IT: VD_FINDINFO HC / 2024 / 864 del 28 ottobre 2024</w:t>
      </w:r>
    </w:p>
    <w:p>
      <w:pPr>
        <w:pStyle w:val="Heading2"/>
      </w:pPr>
      <w:r>
        <w:t>Regeste</w:t>
      </w:r>
    </w:p>
    <w:p>
      <w:r>
        <w:t>REJET DE LA DEMANDE, FRAIS JUDICIAIRES, EXÉCUTION FORCÉE, RESPONSABILITÉ SOLIDAIRE, LOGEMENT DE LA FAMILLE | 176 al. 1 ch. 2 CC, 106 al. 1 CPC (CH)</w:t>
      </w:r>
    </w:p>
    <w:p>
      <w:pPr>
        <w:pStyle w:val="Heading2"/>
      </w:pPr>
      <w:r>
        <w:t>Erwägungen</w:t>
      </w:r>
    </w:p>
    <w:p>
      <w:r>
        <w:rPr>
          <w:b/>
        </w:rPr>
        <w:t>E. 1.1</w:t>
      </w:r>
    </w:p>
    <w:p>
      <w:r>
        <w:t>Selon l’art. 319 let. b ch. 1 CPC, le recours est recevable dans les cas prévus par la loi. L’art. 110 CPC ouvre la voie du recours séparé de l’art. 319 let. b ch. 1 CPC contre la décision sur les frais, lesquels comprennent notamment les frais judiciaires et les dépens (art. 95 CPC ; Tappy, Commentaire romand, Code de procédure civile, 2 e éd., 2019, n. 3 ad art. 110 CPC). Le recours doit être déposé auprès de la Chambre des recours civile, dont la compétence découle de I’art. 73 LOJV (Loi d’organisation judiciaire du 12 décembre 1979 ; BLV 173.01). S’agissant du délai de recours, celui-ci est déterminé par la procédure applicable au litige au fond, eu égard au caractère accessoire des frais judiciaires (ATF 134 I 159 consid. 1.1). Dirigé contre une décision du tribunal de l’exécution rendue en procédure sommaire (art. 248 let. a et 339 al. 2 CPC), le recours, écrit et motivé, doit être introduit dans les dix jours à compter de la notification de la décision motivée (art. 321 al. 2 CPC).</w:t>
      </w:r>
    </w:p>
    <w:p>
      <w:r>
        <w:rPr>
          <w:b/>
        </w:rPr>
        <w:t>E. 1.2</w:t>
      </w:r>
    </w:p>
    <w:p>
      <w:r>
        <w:t>En l’espèce, déposé en temps utile par une partie justifiant d’un intérêt digne de protection (art. 59 al. 2 let. a CPC), le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civile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3.1</w:t>
      </w:r>
    </w:p>
    <w:p>
      <w:r>
        <w:t>On comprend de l’écriture de la recourante que celle-ci conteste que des frais d’exécution forcée soient mis à sa charge. A l’appui de son acte, l’intéressée expose avoir informé la juge de paix qu’elle avait été expulsée injustement du logement litigieux par voie judiciaire, suite à des allégations proférées à son encontre par son époux. Elle a également précisé être officiellement séparée de l’intimé selon décision du 12 février 2024 et que celle‑ci stipulait clairement que le loyer et les charges relatifs à l’appartement demeuraient à la charge de son époux.</w:t>
      </w:r>
    </w:p>
    <w:p>
      <w:r>
        <w:rPr>
          <w:b/>
        </w:rPr>
        <w:t>E. 3.2</w:t>
      </w:r>
    </w:p>
    <w:p>
      <w:r>
        <w:t>Les frais judiciaires d’exécution forcée sont régis par les règles prévues aux art. 95 ss CPC. Ils comprennent non seulement les frais de la procédure devant le tribunal de l’exécution forcée, mais également les frais de mise en œuvre des mesures d’exécution forcée, notamment l’exécution de la décision par un tiers (art. 343 al. 1 let. e CPC). Ils comprennent ainsi tous les frais nécessaires induits par l’évacuation complète du contenu des immeubles, ainsi les frais de déménageurs et de serrurier (CREC 25 juin 2024/163 ; CREC 22 avril 2024/105 ; CREC 9 octobre 2017/383, JdT 2018 III 47), ou encore les frais d’entreposage ou de dépôt, tels que garde-meubles ou déchetterie (CREC 25 juin 2024/163 précité ; CREC 1 er février 2017/25). Les frais de la procédure d’exécution sont à la charge de la partie succombante (art. 106 al. 1 CPC). Ils sont dus par l’expulsé alors même qu’ils se rapporteraient à des objets propriété de tiers que l’expulsé avait le temps d’évacuer lui-même (CREC 25 juin 2024/163 précité ; CREC 9 octobre 2017/38, JdT 2018 III 47 précité).</w:t>
      </w:r>
    </w:p>
    <w:p>
      <w:r>
        <w:rPr>
          <w:b/>
        </w:rPr>
        <w:t>E. 3.3</w:t>
      </w:r>
    </w:p>
    <w:p>
      <w:r>
        <w:t>Dans le cadre de l’organisation de la vie séparée, si les époux ne parviennent pas à s’entendre au sujet de la jouissance de l’habitation conjugale, l’art. 176 al. 1 ch. 2 CC prévoit que le juge l’attribue provisoirement à l’une des parties en faisant usage de son pouvoir d’appréciation. L’attribution du logement commun se fait pour la durée de la procédure. Elle n’emporte pas transfert de bail qui serait opposable au bailleur, contrairement à ce que prévoit l’art. 121 al. 1 CC au moment du divorce, et ne déploie d’effets qu’entre les conjoints (Juge unique CACI 22 décembre 2022/636 consid. 3.2.3 et les réf. citées). Ainsi lorsqu’il attribue le logement à un époux, le juge des mesures protectrices de l’union conjugale ou des mesures provisionnelles l’impose au locataire au titre de son obligation matrimoniale, mais sa décision ne modifie pas directement la relation contractuelle entre le locataire et le bailleur. En effet, seul le juge du divorce peut transférer à un époux, à certaines conditions, les droits et obligations découlant du bail (art. 121 al. 1 CC ; ATF 134 III 446 consid. 2.1 ; TF 4A_521/2021 du 3 janvier 2023 consid. 3.2.3 ; Juge unique CACI 22 décembre 2022/636 précité ; CACI 9 avril 2013/192).</w:t>
      </w:r>
    </w:p>
    <w:p>
      <w:r>
        <w:rPr>
          <w:b/>
        </w:rPr>
        <w:t>E. 3.4</w:t>
      </w:r>
    </w:p>
    <w:p>
      <w:r>
        <w:t>En l’espèce, la recourante entend se prévaloir de sa séparation, constatée dans la convention de mesures protectrices de l’union conjugale signée les 30 novembre et</w:t>
      </w:r>
    </w:p>
    <w:p>
      <w:r>
        <w:rPr>
          <w:b/>
        </w:rPr>
        <w:t>E. 7</w:t>
      </w:r>
    </w:p>
    <w:p>
      <w:r>
        <w:t>décembre 2023 et ratifiée le 12 février 2024 par le Président du Tribunal d’arrondissement de la Broye et du Nord vaudois. S’il est vrai que le chiffre II de cette convention attribue à l’intimé la jouissance du logement litigieux, à charge pour lui de s’acquitter du loyer et des charges, cela ne saurait être opposable au bailleur comme le rappelle la jurisprudence précédemment citée. En d’autres termes, la convention intervenue n’a pas modifié la titularité du contrat de bail du 7 juin 2022 auquel la recourante est donc toujours partie. C’est ainsi à juste titre que la juge de paix a mis les frais de l’exécution forcée à charge des deux locataires, dont la recourante. Il reviendra, le cas échéant, à celle-ci de faire valoir d’éventuelles prétentions à l’encontre de l’intimé dans le cadre de la liquidation de leur régime matrimonial. En considération de ce qui précède, le grief doit être écarté. 4. 4.1 En définitive, le recours, manifestement infondé, doit être rejeté dans la mesure de sa recevabilité (art. 322 al. 1 in fine CPC) et le prononcé entrepris confirmé. 4.2 Le présent arrêt est rendu sans frais judiciaires de deuxième instance (cf. art. 11 TFJC [tarif des frais judiciaires civils du 28 septembre 2010 ; BLV 270.11.5]). Il ne sera pas alloué de dépens de deuxième instance, dès lors que les intimés n’ont pas été invités à se déterminer. Par ces motifs, la Chambre des recours civile du Tribunal cantonal, en application de l’art. 322 al. 1 CPC, prononce : I. Le recours est rejeté. II. Le prononcé est confirmé. III. L’arrêt, rendu sans frais, est exécutoire. La présidente :               La greffière : Du L’arrêt qui précède, dont la rédaction a été approuvée à huis clos, est notifié à : ‑ W.________, personnellement, - Z.________, personnellement, - V.________. La Chambre des recours civile considère que la valeur litigieuse est inférieure à 15'000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